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2967" w14:textId="7392A359" w:rsidR="003D3F40" w:rsidRDefault="003D3F40" w:rsidP="00E23FC3">
      <w:pPr>
        <w:ind w:right="-589" w:hanging="851"/>
        <w:rPr>
          <w:b/>
          <w:color w:val="4F6228" w:themeColor="accent3" w:themeShade="80"/>
          <w:sz w:val="24"/>
          <w:szCs w:val="24"/>
          <w:highlight w:val="lightGray"/>
        </w:rPr>
      </w:pPr>
      <w:bookmarkStart w:id="0" w:name="_GoBack"/>
      <w:bookmarkEnd w:id="0"/>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D43C9B5" w14:textId="14D711E6" w:rsidR="0001550E" w:rsidRDefault="0001550E" w:rsidP="00DE45AD">
            <w:pPr>
              <w:spacing w:after="60"/>
              <w:ind w:right="-589" w:firstLine="34"/>
              <w:rPr>
                <w:b/>
                <w:color w:val="4F6228" w:themeColor="accent3" w:themeShade="80"/>
                <w:sz w:val="28"/>
                <w:szCs w:val="28"/>
              </w:rPr>
            </w:pPr>
            <w:r w:rsidRPr="00E67E9B">
              <w:rPr>
                <w:b/>
                <w:color w:val="4F6228" w:themeColor="accent3" w:themeShade="80"/>
                <w:sz w:val="24"/>
                <w:szCs w:val="24"/>
                <w:highlight w:val="lightGray"/>
              </w:rPr>
              <w:t>[</w:t>
            </w:r>
            <w:r w:rsidR="001C713E">
              <w:rPr>
                <w:b/>
                <w:color w:val="4F6228" w:themeColor="accent3" w:themeShade="80"/>
                <w:sz w:val="24"/>
                <w:szCs w:val="24"/>
                <w:highlight w:val="lightGray"/>
              </w:rPr>
              <w:t xml:space="preserve">Osbornes Flat Primary School </w:t>
            </w:r>
            <w:r w:rsidR="001C713E">
              <w:rPr>
                <w:b/>
                <w:color w:val="4F6228" w:themeColor="accent3" w:themeShade="80"/>
                <w:sz w:val="28"/>
                <w:szCs w:val="28"/>
                <w:highlight w:val="lightGray"/>
              </w:rPr>
              <w:t>1463</w:t>
            </w:r>
            <w:r w:rsidRPr="00CC615B">
              <w:rPr>
                <w:b/>
                <w:color w:val="4F6228" w:themeColor="accent3" w:themeShade="80"/>
                <w:sz w:val="28"/>
                <w:szCs w:val="28"/>
                <w:highlight w:val="lightGray"/>
              </w:rPr>
              <w:t>]</w:t>
            </w:r>
            <w:r w:rsidR="001C713E">
              <w:rPr>
                <w:b/>
                <w:color w:val="4F6228" w:themeColor="accent3" w:themeShade="80"/>
                <w:sz w:val="28"/>
                <w:szCs w:val="28"/>
              </w:rPr>
              <w:t xml:space="preserve"> Strategic Plan 2018</w:t>
            </w:r>
            <w:r>
              <w:rPr>
                <w:b/>
                <w:color w:val="4F6228" w:themeColor="accent3" w:themeShade="80"/>
                <w:sz w:val="28"/>
                <w:szCs w:val="28"/>
              </w:rPr>
              <w:t>-</w:t>
            </w:r>
            <w:r w:rsidRPr="00CC615B">
              <w:rPr>
                <w:b/>
                <w:color w:val="4F6228" w:themeColor="accent3" w:themeShade="80"/>
                <w:sz w:val="28"/>
                <w:szCs w:val="28"/>
              </w:rPr>
              <w:t>20</w:t>
            </w:r>
            <w:r w:rsidR="001C713E">
              <w:rPr>
                <w:b/>
                <w:color w:val="4F6228" w:themeColor="accent3" w:themeShade="80"/>
                <w:sz w:val="28"/>
                <w:szCs w:val="28"/>
              </w:rPr>
              <w:t>21</w:t>
            </w:r>
          </w:p>
          <w:p w14:paraId="5443513F" w14:textId="5784376E" w:rsidR="0001550E" w:rsidRDefault="0001550E" w:rsidP="009204E5">
            <w:pPr>
              <w:ind w:right="-589" w:firstLine="34"/>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77777777"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Pr="00300E45">
              <w:rPr>
                <w:sz w:val="18"/>
                <w:szCs w:val="18"/>
              </w:rPr>
              <w:tab/>
            </w:r>
            <w:r>
              <w:rPr>
                <w:sz w:val="18"/>
                <w:szCs w:val="18"/>
              </w:rPr>
              <w:tab/>
            </w:r>
            <w:r w:rsidRPr="00907788">
              <w:rPr>
                <w:sz w:val="18"/>
                <w:szCs w:val="18"/>
                <w:highlight w:val="lightGray"/>
              </w:rPr>
              <w:t>[name]</w:t>
            </w:r>
            <w:r w:rsidRPr="009C1955">
              <w:rPr>
                <w:sz w:val="18"/>
                <w:szCs w:val="18"/>
              </w:rPr>
              <w:tab/>
            </w:r>
            <w:r w:rsidRPr="00907788">
              <w:rPr>
                <w:sz w:val="18"/>
                <w:szCs w:val="18"/>
                <w:highlight w:val="lightGray"/>
              </w:rPr>
              <w:t>[date]</w:t>
            </w:r>
          </w:p>
          <w:p w14:paraId="3DD0DA91" w14:textId="494ED6A1"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Pr>
                <w:sz w:val="18"/>
                <w:szCs w:val="18"/>
              </w:rPr>
              <w:tab/>
            </w:r>
            <w:r>
              <w:rPr>
                <w:sz w:val="18"/>
                <w:szCs w:val="18"/>
              </w:rPr>
              <w:tab/>
            </w:r>
            <w:r w:rsidRPr="00907788">
              <w:rPr>
                <w:sz w:val="18"/>
                <w:szCs w:val="18"/>
                <w:highlight w:val="lightGray"/>
              </w:rPr>
              <w:t>[name]</w:t>
            </w:r>
            <w:r>
              <w:rPr>
                <w:sz w:val="18"/>
                <w:szCs w:val="18"/>
              </w:rPr>
              <w:tab/>
            </w:r>
            <w:r w:rsidRPr="00907788">
              <w:rPr>
                <w:sz w:val="18"/>
                <w:szCs w:val="18"/>
                <w:highlight w:val="lightGray"/>
              </w:rPr>
              <w:t>[date]</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6B785689" w:rsidR="0001550E" w:rsidRDefault="0001550E" w:rsidP="003D3F40">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Pr>
                <w:sz w:val="18"/>
                <w:szCs w:val="18"/>
              </w:rPr>
              <w:tab/>
            </w:r>
            <w:r>
              <w:rPr>
                <w:sz w:val="18"/>
                <w:szCs w:val="18"/>
              </w:rPr>
              <w:tab/>
            </w:r>
            <w:r w:rsidRPr="00907788">
              <w:rPr>
                <w:sz w:val="18"/>
                <w:szCs w:val="18"/>
                <w:highlight w:val="lightGray"/>
              </w:rPr>
              <w:t>[name]</w:t>
            </w:r>
            <w:r>
              <w:rPr>
                <w:sz w:val="18"/>
                <w:szCs w:val="18"/>
              </w:rPr>
              <w:tab/>
            </w:r>
            <w:r w:rsidRPr="00907788">
              <w:rPr>
                <w:sz w:val="18"/>
                <w:szCs w:val="18"/>
                <w:highlight w:val="lightGray"/>
              </w:rPr>
              <w:t>[date]</w:t>
            </w:r>
            <w:r>
              <w:rPr>
                <w:sz w:val="18"/>
                <w:szCs w:val="18"/>
              </w:rPr>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38F570DA"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5086219D"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0C8A6E59" w:rsidR="00B85BE6" w:rsidRPr="00907788" w:rsidRDefault="006569E2" w:rsidP="00B85BE6">
            <w:pPr>
              <w:spacing w:before="120"/>
              <w:rPr>
                <w:b/>
                <w:sz w:val="18"/>
                <w:szCs w:val="18"/>
              </w:rPr>
            </w:pPr>
            <w:r>
              <w:rPr>
                <w:b/>
                <w:sz w:val="18"/>
                <w:szCs w:val="18"/>
              </w:rPr>
              <w:t>Context and challenges</w:t>
            </w:r>
          </w:p>
          <w:p w14:paraId="3466307B" w14:textId="1BFAAC63"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269"/>
        </w:trPr>
        <w:tc>
          <w:tcPr>
            <w:tcW w:w="3686" w:type="dxa"/>
            <w:vMerge w:val="restart"/>
          </w:tcPr>
          <w:p w14:paraId="674B08D5" w14:textId="77777777" w:rsidR="00F72BEA" w:rsidRPr="0023352C" w:rsidRDefault="00B85BE6" w:rsidP="00F72BEA">
            <w:r w:rsidRPr="0023352C">
              <w:rPr>
                <w:i/>
                <w:highlight w:val="lightGray"/>
              </w:rPr>
              <w:t>[</w:t>
            </w:r>
            <w:r w:rsidR="00F72BEA" w:rsidRPr="0023352C">
              <w:t xml:space="preserve">Our vision is to provide a community of learning which supports all members in a positive and safe environment. We see our school and community as a rural community with modern values and high aspirations for our students. At the end of their time at Osbornes Flat we aspire for our students to be highly literate and numerate individuals who can learn independently and having a life- long desire to learn beyond our school. Our students will be environmentally aware in a rural context and they will continue to be actively involved in their local and broader community. </w:t>
            </w:r>
          </w:p>
          <w:p w14:paraId="70030B19" w14:textId="170788ED" w:rsidR="00B85BE6" w:rsidRPr="0023352C" w:rsidRDefault="00B85BE6" w:rsidP="00B85BE6"/>
          <w:p w14:paraId="3FCDBE23" w14:textId="77777777" w:rsidR="00B85BE6" w:rsidRPr="0023352C" w:rsidRDefault="00B85BE6" w:rsidP="00B85BE6"/>
          <w:p w14:paraId="53040886" w14:textId="77777777" w:rsidR="00B85BE6" w:rsidRPr="0023352C" w:rsidRDefault="00B85BE6" w:rsidP="00B85BE6"/>
          <w:p w14:paraId="5CC7E547" w14:textId="77777777" w:rsidR="00B85BE6" w:rsidRPr="0023352C" w:rsidRDefault="00B85BE6" w:rsidP="00B85BE6">
            <w:pPr>
              <w:rPr>
                <w:b/>
              </w:rPr>
            </w:pPr>
          </w:p>
          <w:p w14:paraId="7BB3C482" w14:textId="77777777" w:rsidR="00B85BE6" w:rsidRPr="0023352C" w:rsidRDefault="00B85BE6" w:rsidP="00B85BE6">
            <w:pPr>
              <w:rPr>
                <w:highlight w:val="lightGray"/>
              </w:rPr>
            </w:pPr>
          </w:p>
        </w:tc>
        <w:tc>
          <w:tcPr>
            <w:tcW w:w="4678" w:type="dxa"/>
            <w:vMerge w:val="restart"/>
          </w:tcPr>
          <w:p w14:paraId="73769C33" w14:textId="77777777" w:rsidR="00B85BE6" w:rsidRPr="0023352C" w:rsidRDefault="00F72BEA" w:rsidP="00B85BE6">
            <w:r w:rsidRPr="0023352C">
              <w:t>Good manners</w:t>
            </w:r>
          </w:p>
          <w:p w14:paraId="449EC9D7" w14:textId="681F482E" w:rsidR="00F72BEA" w:rsidRPr="0023352C" w:rsidRDefault="00F72BEA" w:rsidP="00B85BE6">
            <w:r w:rsidRPr="0023352C">
              <w:t>Friendliness</w:t>
            </w:r>
          </w:p>
          <w:p w14:paraId="3E26E814" w14:textId="42761E25" w:rsidR="00F72BEA" w:rsidRPr="0023352C" w:rsidRDefault="00F72BEA" w:rsidP="00B85BE6">
            <w:r w:rsidRPr="0023352C">
              <w:t>Courage</w:t>
            </w:r>
          </w:p>
          <w:p w14:paraId="13210D97" w14:textId="3E7135A6" w:rsidR="00F72BEA" w:rsidRPr="0023352C" w:rsidRDefault="00F72BEA" w:rsidP="00B85BE6">
            <w:r w:rsidRPr="0023352C">
              <w:t>Persistence/ Resilience</w:t>
            </w:r>
          </w:p>
          <w:p w14:paraId="486F51CD" w14:textId="6A97999A" w:rsidR="00F72BEA" w:rsidRPr="0023352C" w:rsidRDefault="00F72BEA" w:rsidP="00B85BE6">
            <w:r w:rsidRPr="0023352C">
              <w:t>Tolerance/ Acceptance</w:t>
            </w:r>
          </w:p>
          <w:p w14:paraId="1823EDA9" w14:textId="15C8CC7D" w:rsidR="00F72BEA" w:rsidRPr="0023352C" w:rsidRDefault="00F72BEA" w:rsidP="00B85BE6">
            <w:r w:rsidRPr="0023352C">
              <w:t>Compassion/ Empathy</w:t>
            </w:r>
          </w:p>
          <w:p w14:paraId="6E218D19" w14:textId="77777777" w:rsidR="00B85BE6" w:rsidRPr="0023352C" w:rsidRDefault="00B85BE6" w:rsidP="00B85BE6"/>
          <w:p w14:paraId="154A1D91" w14:textId="49FAF662" w:rsidR="00B85BE6" w:rsidRPr="0023352C" w:rsidRDefault="00B85BE6" w:rsidP="00B85BE6">
            <w:pPr>
              <w:rPr>
                <w:i/>
              </w:rPr>
            </w:pPr>
          </w:p>
        </w:tc>
        <w:tc>
          <w:tcPr>
            <w:tcW w:w="6946" w:type="dxa"/>
            <w:vMerge w:val="restart"/>
          </w:tcPr>
          <w:p w14:paraId="644DD726" w14:textId="74F6A150" w:rsidR="009204E5" w:rsidRPr="0023352C" w:rsidRDefault="009204E5" w:rsidP="009204E5">
            <w:r w:rsidRPr="0023352C">
              <w:t xml:space="preserve">Osbornes Flat Primary School is located in a bush setting, six kilometres from the township of Yackandandah and thirty kilometres southeast of the rural city of Wodonga. The large school site includes a memorial garden, large shade trees, undercover play areas, an oval, play equipment and vegetable gardens. </w:t>
            </w:r>
          </w:p>
          <w:p w14:paraId="1943AB84" w14:textId="02E0E80B" w:rsidR="009204E5" w:rsidRPr="0023352C" w:rsidRDefault="009204E5" w:rsidP="009204E5">
            <w:r w:rsidRPr="0023352C">
              <w:t>The school is the centre of the community at Osbornes Flat and parents take responsibility for the maintenance of the large school site. Upper Murray Regional Library Mobile Service visits fortnightly, enabling all members of the community to take advantage of this service.</w:t>
            </w:r>
          </w:p>
          <w:p w14:paraId="5417B135" w14:textId="77777777" w:rsidR="009204E5" w:rsidRPr="0023352C" w:rsidRDefault="009204E5" w:rsidP="009204E5">
            <w:r w:rsidRPr="0023352C">
              <w:t>The school’s 68 students are catered for in in four multi-aged classes. Enrolment has remained around 70 for the past four years. There are 5.2 full time teaching staff, 0.2 integration support staff and 0.8 clerical support staff. An art specialist from the Mobile Art and Craft Van and a librarian from the Mobile Area Resource Centre provide students with fortnightly specialist art and library sessions. The school offers weekly Italian sessions for all students.</w:t>
            </w:r>
          </w:p>
          <w:p w14:paraId="2BF61852" w14:textId="77777777" w:rsidR="009204E5" w:rsidRPr="0023352C" w:rsidRDefault="009204E5" w:rsidP="009204E5">
            <w:r w:rsidRPr="0023352C">
              <w:t xml:space="preserve">The school’s curriculum reflects all domains of the Victorian Curriculum Standards. Throughout the year all students are offered camps and excursions, which support the curriculum. </w:t>
            </w:r>
          </w:p>
          <w:p w14:paraId="140AAE05" w14:textId="1B0FC201" w:rsidR="009204E5" w:rsidRPr="0023352C" w:rsidRDefault="009204E5" w:rsidP="009204E5">
            <w:r w:rsidRPr="0023352C">
              <w:t>The school is involved in a local small schools network which provides students with the opportunity to participate in a range of sporting and cultural events.</w:t>
            </w:r>
          </w:p>
          <w:p w14:paraId="0199282C" w14:textId="77777777" w:rsidR="00F72BEA" w:rsidRPr="0023352C" w:rsidRDefault="00F72BEA" w:rsidP="00B85BE6"/>
          <w:p w14:paraId="26B44DC8" w14:textId="21F4B9F2" w:rsidR="009204E5" w:rsidRPr="0023352C" w:rsidRDefault="00F72BEA" w:rsidP="00B85BE6">
            <w:r w:rsidRPr="0023352C">
              <w:t>The main challenge of the school is s</w:t>
            </w:r>
            <w:r w:rsidR="009204E5" w:rsidRPr="0023352C">
              <w:t xml:space="preserve">ustainability </w:t>
            </w:r>
            <w:r w:rsidRPr="0023352C">
              <w:t>in</w:t>
            </w:r>
            <w:r w:rsidR="0023352C" w:rsidRPr="0023352C">
              <w:t>to</w:t>
            </w:r>
            <w:r w:rsidRPr="0023352C">
              <w:t xml:space="preserve"> the future. </w:t>
            </w:r>
          </w:p>
          <w:p w14:paraId="1D82DB56" w14:textId="77777777" w:rsidR="009204E5" w:rsidRPr="0023352C" w:rsidRDefault="009204E5" w:rsidP="00B85BE6"/>
          <w:p w14:paraId="48A7D678" w14:textId="77777777" w:rsidR="00B85BE6" w:rsidRPr="0023352C" w:rsidRDefault="00B85BE6" w:rsidP="00B85BE6"/>
          <w:p w14:paraId="69DB8379" w14:textId="77777777" w:rsidR="00B85BE6" w:rsidRPr="0023352C" w:rsidRDefault="00B85BE6" w:rsidP="00B85BE6"/>
          <w:p w14:paraId="2DD7A514" w14:textId="1E2AABA6" w:rsidR="00B85BE6" w:rsidRPr="0023352C" w:rsidRDefault="00B85BE6" w:rsidP="00B85BE6">
            <w:pPr>
              <w:rPr>
                <w:i/>
              </w:rPr>
            </w:pPr>
          </w:p>
        </w:tc>
        <w:tc>
          <w:tcPr>
            <w:tcW w:w="7229" w:type="dxa"/>
            <w:vMerge w:val="restart"/>
          </w:tcPr>
          <w:p w14:paraId="063BD75E" w14:textId="0A215ED2" w:rsidR="009204E5" w:rsidRPr="0023352C" w:rsidRDefault="009204E5" w:rsidP="009204E5">
            <w:r w:rsidRPr="0023352C">
              <w:t>If parents, students and the school are partners in a collaborative approach to learning then opportunities for increased student health, wellbeing and achievement are maximised</w:t>
            </w:r>
          </w:p>
          <w:p w14:paraId="10BF33A8" w14:textId="77777777" w:rsidR="009204E5" w:rsidRPr="0023352C" w:rsidRDefault="009204E5" w:rsidP="009204E5"/>
          <w:p w14:paraId="7DBAE161" w14:textId="77777777" w:rsidR="009204E5" w:rsidRPr="0023352C" w:rsidRDefault="009204E5" w:rsidP="009204E5">
            <w:r w:rsidRPr="0023352C">
              <w:t>If student achievement data is generated, analysed and used to inform the design of targeted learning then opportunities for student learning growth will be maximised.</w:t>
            </w:r>
          </w:p>
          <w:p w14:paraId="122D7A8B" w14:textId="0565374F" w:rsidR="009204E5" w:rsidRPr="0023352C" w:rsidRDefault="009204E5" w:rsidP="009204E5">
            <w:r w:rsidRPr="0023352C">
              <w:t>If teacher practice is strengthened, monitored and validated then consistent practice across the school is maximised.</w:t>
            </w:r>
          </w:p>
          <w:p w14:paraId="749BBB7F" w14:textId="1EDF4600" w:rsidR="00B85BE6" w:rsidRPr="0023352C" w:rsidRDefault="00B85BE6" w:rsidP="00B85BE6"/>
        </w:tc>
      </w:tr>
      <w:tr w:rsidR="00B85BE6" w14:paraId="1C2E7DB7" w14:textId="77777777" w:rsidTr="00367C8D">
        <w:trPr>
          <w:trHeight w:val="220"/>
        </w:trPr>
        <w:tc>
          <w:tcPr>
            <w:tcW w:w="3686" w:type="dxa"/>
            <w:vMerge/>
            <w:shd w:val="clear" w:color="auto" w:fill="C2D69B" w:themeFill="accent3" w:themeFillTint="99"/>
          </w:tcPr>
          <w:p w14:paraId="2E752559" w14:textId="35612365"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67C8D">
        <w:trPr>
          <w:trHeight w:val="220"/>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6569E2">
        <w:trPr>
          <w:trHeight w:val="570"/>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942E00" w14:paraId="572CE555" w14:textId="772407F0" w:rsidTr="00665F3B">
        <w:trPr>
          <w:trHeight w:val="720"/>
        </w:trPr>
        <w:tc>
          <w:tcPr>
            <w:tcW w:w="6663" w:type="dxa"/>
            <w:vMerge w:val="restart"/>
            <w:shd w:val="clear" w:color="auto" w:fill="auto"/>
          </w:tcPr>
          <w:p w14:paraId="2F6D8DD4" w14:textId="1B35914F" w:rsidR="00942E00" w:rsidRPr="0072292E" w:rsidRDefault="00942E00" w:rsidP="001C713E">
            <w:pPr>
              <w:rPr>
                <w:highlight w:val="lightGray"/>
              </w:rPr>
            </w:pPr>
            <w:r w:rsidRPr="0072292E">
              <w:t>Improve individual student learning outcomes.</w:t>
            </w:r>
          </w:p>
        </w:tc>
        <w:tc>
          <w:tcPr>
            <w:tcW w:w="2694" w:type="dxa"/>
            <w:vMerge w:val="restart"/>
            <w:shd w:val="clear" w:color="auto" w:fill="auto"/>
          </w:tcPr>
          <w:p w14:paraId="0953278B" w14:textId="77777777" w:rsidR="00942E00" w:rsidRPr="009204E5" w:rsidRDefault="00942E00" w:rsidP="00A05F71">
            <w:r w:rsidRPr="009204E5">
              <w:t>Excellence in teaching and learning</w:t>
            </w:r>
          </w:p>
          <w:p w14:paraId="0D05A688" w14:textId="77777777" w:rsidR="00A11D62" w:rsidRPr="009204E5" w:rsidRDefault="00A11D62" w:rsidP="00A05F71"/>
          <w:p w14:paraId="70C502F9" w14:textId="77777777" w:rsidR="00942E00" w:rsidRPr="009204E5" w:rsidRDefault="00942E00" w:rsidP="00A05F71">
            <w:r w:rsidRPr="009204E5">
              <w:t>Building practice excellence</w:t>
            </w:r>
          </w:p>
          <w:p w14:paraId="2CD26163" w14:textId="77777777" w:rsidR="00A11D62" w:rsidRPr="0072292E" w:rsidRDefault="00A11D62" w:rsidP="00A05F71">
            <w:pPr>
              <w:rPr>
                <w:highlight w:val="lightGray"/>
              </w:rPr>
            </w:pPr>
          </w:p>
          <w:p w14:paraId="5620A8A1" w14:textId="363C0AF4" w:rsidR="00942E00" w:rsidRPr="0072292E" w:rsidRDefault="00942E00" w:rsidP="00A05F71">
            <w:pPr>
              <w:rPr>
                <w:b/>
              </w:rPr>
            </w:pPr>
            <w:r w:rsidRPr="0072292E">
              <w:t>Curriculum planning and assessment.</w:t>
            </w:r>
            <w:r w:rsidRPr="0072292E">
              <w:rPr>
                <w:b/>
              </w:rPr>
              <w:t xml:space="preserve"> </w:t>
            </w:r>
          </w:p>
        </w:tc>
        <w:tc>
          <w:tcPr>
            <w:tcW w:w="6615" w:type="dxa"/>
            <w:shd w:val="clear" w:color="auto" w:fill="auto"/>
          </w:tcPr>
          <w:p w14:paraId="349F1D1E" w14:textId="56DFDFD4" w:rsidR="00942E00" w:rsidRPr="0072292E" w:rsidRDefault="00942E00" w:rsidP="001C713E">
            <w:pPr>
              <w:rPr>
                <w:highlight w:val="lightGray"/>
              </w:rPr>
            </w:pPr>
            <w:r w:rsidRPr="0072292E">
              <w:t>Build teacher and student confidence in utilizing a range of assessment strategies, both formative and summative to effectively plan for, and assess teaching and learning.</w:t>
            </w:r>
          </w:p>
        </w:tc>
        <w:tc>
          <w:tcPr>
            <w:tcW w:w="6615" w:type="dxa"/>
            <w:vMerge w:val="restart"/>
            <w:shd w:val="clear" w:color="auto" w:fill="auto"/>
          </w:tcPr>
          <w:p w14:paraId="655A5C13" w14:textId="77777777" w:rsidR="00942E00" w:rsidRDefault="00942E00" w:rsidP="00942E00"/>
          <w:p w14:paraId="568B2B8E" w14:textId="77777777" w:rsidR="00942E00" w:rsidRDefault="00942E00" w:rsidP="00942E00">
            <w:r>
              <w:t>NAPLAN:</w:t>
            </w:r>
          </w:p>
          <w:p w14:paraId="3412BA95" w14:textId="77777777" w:rsidR="00942E00" w:rsidRDefault="00942E00" w:rsidP="00942E00"/>
          <w:p w14:paraId="4D8CB15B" w14:textId="77777777" w:rsidR="00942E00" w:rsidRDefault="00942E00" w:rsidP="00942E00">
            <w:r>
              <w:t>To increase the percentage of students in Yr3 and Yr5 in the top two bands for Reading, Writing and Numeracy to 50%. (Panorama report)</w:t>
            </w:r>
          </w:p>
          <w:p w14:paraId="297CD7FC" w14:textId="77777777" w:rsidR="00942E00" w:rsidRDefault="00942E00" w:rsidP="00942E00"/>
          <w:p w14:paraId="3576B5EA" w14:textId="77777777" w:rsidR="00942E00" w:rsidRDefault="00942E00" w:rsidP="00942E00">
            <w:r>
              <w:t>To increase high growth from 2017 in Writing.</w:t>
            </w:r>
          </w:p>
          <w:p w14:paraId="262DA3E8" w14:textId="77777777" w:rsidR="00942E00" w:rsidRDefault="00942E00" w:rsidP="00942E00"/>
          <w:p w14:paraId="3FF5C336" w14:textId="77777777" w:rsidR="00942E00" w:rsidRDefault="00942E00" w:rsidP="00942E00">
            <w:r>
              <w:t>To maintain or increase high growth from 2017 in Reading and Numeracy.</w:t>
            </w:r>
          </w:p>
          <w:p w14:paraId="524ED6D7" w14:textId="77777777" w:rsidR="00942E00" w:rsidRDefault="00942E00" w:rsidP="00942E00"/>
          <w:p w14:paraId="3594E959" w14:textId="77777777" w:rsidR="00942E00" w:rsidRDefault="00942E00" w:rsidP="00942E00">
            <w:r>
              <w:lastRenderedPageBreak/>
              <w:t>VIC CURRICULUM:</w:t>
            </w:r>
          </w:p>
          <w:p w14:paraId="2CC8BCBF" w14:textId="77777777" w:rsidR="00942E00" w:rsidRDefault="00942E00" w:rsidP="00942E00"/>
          <w:p w14:paraId="3C516BD6" w14:textId="2BFDB4D1" w:rsidR="00942E00" w:rsidRPr="0072292E" w:rsidRDefault="00942E00" w:rsidP="00942E00">
            <w:pPr>
              <w:rPr>
                <w:highlight w:val="lightGray"/>
              </w:rPr>
            </w:pPr>
            <w:r>
              <w:t>Student achievement data in English, Mathematics and Science will reflect 12 months growth in one year.</w:t>
            </w:r>
          </w:p>
        </w:tc>
      </w:tr>
      <w:tr w:rsidR="00942E00" w14:paraId="7498B260" w14:textId="1AA2CF14" w:rsidTr="00665F3B">
        <w:trPr>
          <w:trHeight w:val="438"/>
        </w:trPr>
        <w:tc>
          <w:tcPr>
            <w:tcW w:w="6663" w:type="dxa"/>
            <w:vMerge/>
            <w:shd w:val="clear" w:color="auto" w:fill="auto"/>
          </w:tcPr>
          <w:p w14:paraId="309F908A" w14:textId="3ED7FBE1" w:rsidR="00942E00" w:rsidRPr="0072292E" w:rsidRDefault="00942E00" w:rsidP="006569E2">
            <w:pPr>
              <w:spacing w:before="120"/>
              <w:rPr>
                <w:b/>
              </w:rPr>
            </w:pPr>
          </w:p>
        </w:tc>
        <w:tc>
          <w:tcPr>
            <w:tcW w:w="2694" w:type="dxa"/>
            <w:vMerge/>
            <w:shd w:val="clear" w:color="auto" w:fill="auto"/>
          </w:tcPr>
          <w:p w14:paraId="7066DB1F" w14:textId="2BCE9E67" w:rsidR="00942E00" w:rsidRPr="0072292E" w:rsidRDefault="00942E00" w:rsidP="00A05F71">
            <w:pPr>
              <w:spacing w:before="120"/>
              <w:rPr>
                <w:b/>
              </w:rPr>
            </w:pPr>
          </w:p>
        </w:tc>
        <w:tc>
          <w:tcPr>
            <w:tcW w:w="6615" w:type="dxa"/>
            <w:shd w:val="clear" w:color="auto" w:fill="auto"/>
          </w:tcPr>
          <w:p w14:paraId="6716E694" w14:textId="47094C24" w:rsidR="00942E00" w:rsidRPr="0072292E" w:rsidRDefault="00942E00" w:rsidP="00A05F71">
            <w:pPr>
              <w:rPr>
                <w:highlight w:val="lightGray"/>
              </w:rPr>
            </w:pPr>
            <w:r w:rsidRPr="0072292E">
              <w:t>Embed an agreed guaranteed and viable curriculum that is consistently implemented</w:t>
            </w:r>
          </w:p>
        </w:tc>
        <w:tc>
          <w:tcPr>
            <w:tcW w:w="6615" w:type="dxa"/>
            <w:vMerge/>
            <w:shd w:val="clear" w:color="auto" w:fill="auto"/>
          </w:tcPr>
          <w:p w14:paraId="72EF000A" w14:textId="77777777" w:rsidR="00942E00" w:rsidRPr="0072292E" w:rsidRDefault="00942E00" w:rsidP="00A05F71">
            <w:pPr>
              <w:rPr>
                <w:highlight w:val="lightGray"/>
              </w:rPr>
            </w:pPr>
          </w:p>
        </w:tc>
      </w:tr>
      <w:tr w:rsidR="00942E00" w14:paraId="003AA594" w14:textId="55E16E4D" w:rsidTr="00BB2D84">
        <w:trPr>
          <w:trHeight w:val="886"/>
        </w:trPr>
        <w:tc>
          <w:tcPr>
            <w:tcW w:w="6663" w:type="dxa"/>
            <w:vMerge/>
            <w:tcBorders>
              <w:bottom w:val="single" w:sz="4" w:space="0" w:color="auto"/>
            </w:tcBorders>
            <w:shd w:val="clear" w:color="auto" w:fill="auto"/>
          </w:tcPr>
          <w:p w14:paraId="2DDFE42A" w14:textId="77777777" w:rsidR="00942E00" w:rsidRPr="0072292E" w:rsidRDefault="00942E00" w:rsidP="00A05F71">
            <w:pPr>
              <w:spacing w:before="120"/>
              <w:rPr>
                <w:b/>
              </w:rPr>
            </w:pPr>
          </w:p>
        </w:tc>
        <w:tc>
          <w:tcPr>
            <w:tcW w:w="2694" w:type="dxa"/>
            <w:vMerge/>
            <w:tcBorders>
              <w:bottom w:val="single" w:sz="4" w:space="0" w:color="auto"/>
            </w:tcBorders>
            <w:shd w:val="clear" w:color="auto" w:fill="auto"/>
          </w:tcPr>
          <w:p w14:paraId="20FFFB52" w14:textId="4D64C4D4" w:rsidR="00942E00" w:rsidRPr="0072292E" w:rsidRDefault="00942E00" w:rsidP="00A05F71">
            <w:pPr>
              <w:spacing w:before="120"/>
              <w:rPr>
                <w:b/>
              </w:rPr>
            </w:pPr>
          </w:p>
        </w:tc>
        <w:tc>
          <w:tcPr>
            <w:tcW w:w="6615" w:type="dxa"/>
            <w:tcBorders>
              <w:bottom w:val="single" w:sz="4" w:space="0" w:color="auto"/>
            </w:tcBorders>
            <w:shd w:val="clear" w:color="auto" w:fill="auto"/>
          </w:tcPr>
          <w:p w14:paraId="2F3ADCF0" w14:textId="7FD6F426" w:rsidR="00942E00" w:rsidRPr="0072292E" w:rsidRDefault="00942E00" w:rsidP="00A05F71">
            <w:pPr>
              <w:rPr>
                <w:highlight w:val="lightGray"/>
              </w:rPr>
            </w:pPr>
            <w:r w:rsidRPr="0072292E">
              <w:t xml:space="preserve">Develop an agreed and consistently implemented Instructional model </w:t>
            </w:r>
            <w:r>
              <w:t xml:space="preserve">incorporating HITS </w:t>
            </w:r>
            <w:r w:rsidRPr="0072292E">
              <w:t>that ensures the individual learning needs of all students are being met.</w:t>
            </w:r>
          </w:p>
        </w:tc>
        <w:tc>
          <w:tcPr>
            <w:tcW w:w="6615" w:type="dxa"/>
            <w:vMerge/>
            <w:tcBorders>
              <w:bottom w:val="single" w:sz="4" w:space="0" w:color="auto"/>
            </w:tcBorders>
            <w:shd w:val="clear" w:color="auto" w:fill="auto"/>
          </w:tcPr>
          <w:p w14:paraId="445164C0" w14:textId="77777777" w:rsidR="00942E00" w:rsidRPr="0072292E" w:rsidRDefault="00942E00" w:rsidP="00A05F71">
            <w:pPr>
              <w:rPr>
                <w:highlight w:val="lightGray"/>
              </w:rPr>
            </w:pPr>
          </w:p>
        </w:tc>
      </w:tr>
      <w:tr w:rsidR="00F72BEA" w14:paraId="55335813" w14:textId="61E43A44" w:rsidTr="00F72BEA">
        <w:trPr>
          <w:trHeight w:val="416"/>
        </w:trPr>
        <w:tc>
          <w:tcPr>
            <w:tcW w:w="6663" w:type="dxa"/>
            <w:vMerge w:val="restart"/>
            <w:shd w:val="clear" w:color="auto" w:fill="auto"/>
          </w:tcPr>
          <w:p w14:paraId="32FE5185" w14:textId="528672B9" w:rsidR="00F72BEA" w:rsidRPr="0072292E" w:rsidRDefault="00F72BEA" w:rsidP="00274510">
            <w:pPr>
              <w:rPr>
                <w:highlight w:val="lightGray"/>
              </w:rPr>
            </w:pPr>
            <w:r w:rsidRPr="00E748CE">
              <w:t>To create a collaborative and supportive learning community</w:t>
            </w:r>
            <w:r>
              <w:t>.</w:t>
            </w:r>
          </w:p>
        </w:tc>
        <w:tc>
          <w:tcPr>
            <w:tcW w:w="2694" w:type="dxa"/>
            <w:vMerge w:val="restart"/>
            <w:shd w:val="clear" w:color="auto" w:fill="auto"/>
          </w:tcPr>
          <w:p w14:paraId="44E60571" w14:textId="77777777" w:rsidR="00F72BEA" w:rsidRDefault="00F72BEA" w:rsidP="00A05F71">
            <w:r>
              <w:t>FISO Priorities: Community engagement in learning</w:t>
            </w:r>
          </w:p>
          <w:p w14:paraId="7AC53FD8" w14:textId="476B8788" w:rsidR="00F72BEA" w:rsidRDefault="00F72BEA" w:rsidP="00A05F71">
            <w:r>
              <w:t>Positive climate for learning</w:t>
            </w:r>
          </w:p>
          <w:p w14:paraId="3D0E089D" w14:textId="77777777" w:rsidR="00F72BEA" w:rsidRDefault="00F72BEA" w:rsidP="00A05F71"/>
          <w:p w14:paraId="3C877B54" w14:textId="77777777" w:rsidR="00F72BEA" w:rsidRDefault="00F72BEA" w:rsidP="00E748CE">
            <w:pPr>
              <w:pStyle w:val="Table-Entry"/>
              <w:rPr>
                <w:rFonts w:ascii="Verdana" w:hAnsi="Verdana"/>
                <w:color w:val="auto"/>
              </w:rPr>
            </w:pPr>
            <w:r w:rsidRPr="00D065A1">
              <w:rPr>
                <w:rFonts w:ascii="Verdana" w:hAnsi="Verdana"/>
                <w:color w:val="auto"/>
              </w:rPr>
              <w:t xml:space="preserve">FISO Initiative(s): Parents and carers as partners and </w:t>
            </w:r>
          </w:p>
          <w:p w14:paraId="0BE74F12" w14:textId="77777777" w:rsidR="00F72BEA" w:rsidRDefault="00F72BEA" w:rsidP="00E748CE">
            <w:pPr>
              <w:pStyle w:val="Table-Entry"/>
              <w:rPr>
                <w:rFonts w:ascii="Verdana" w:hAnsi="Verdana"/>
                <w:color w:val="auto"/>
              </w:rPr>
            </w:pPr>
          </w:p>
          <w:p w14:paraId="3A6B6CF7" w14:textId="34932460" w:rsidR="00F72BEA" w:rsidRPr="00D065A1" w:rsidRDefault="00F72BEA" w:rsidP="00E748CE">
            <w:pPr>
              <w:pStyle w:val="Table-Entry"/>
              <w:rPr>
                <w:rFonts w:ascii="Verdana" w:hAnsi="Verdana"/>
                <w:color w:val="auto"/>
              </w:rPr>
            </w:pPr>
            <w:r w:rsidRPr="00D065A1">
              <w:rPr>
                <w:rFonts w:ascii="Verdana" w:hAnsi="Verdana"/>
                <w:color w:val="auto"/>
              </w:rPr>
              <w:t xml:space="preserve">Empowering students and building school pride </w:t>
            </w:r>
          </w:p>
          <w:p w14:paraId="4A49BB5E" w14:textId="77777777" w:rsidR="00F72BEA" w:rsidRDefault="00F72BEA" w:rsidP="00A05F71"/>
          <w:p w14:paraId="7952967D" w14:textId="77777777" w:rsidR="00F72BEA" w:rsidRDefault="00F72BEA" w:rsidP="00A05F71">
            <w:pPr>
              <w:rPr>
                <w:b/>
              </w:rPr>
            </w:pPr>
          </w:p>
          <w:p w14:paraId="6B013D03" w14:textId="77777777" w:rsidR="00F72BEA" w:rsidRDefault="00F72BEA" w:rsidP="00A05F71">
            <w:pPr>
              <w:rPr>
                <w:b/>
              </w:rPr>
            </w:pPr>
          </w:p>
          <w:p w14:paraId="1668E5F3" w14:textId="5A122D4E" w:rsidR="00F72BEA" w:rsidRPr="0072292E" w:rsidRDefault="00F72BEA" w:rsidP="00A05F71">
            <w:pPr>
              <w:rPr>
                <w:b/>
              </w:rPr>
            </w:pPr>
          </w:p>
        </w:tc>
        <w:tc>
          <w:tcPr>
            <w:tcW w:w="6615" w:type="dxa"/>
            <w:shd w:val="clear" w:color="auto" w:fill="auto"/>
          </w:tcPr>
          <w:p w14:paraId="27E9F39B" w14:textId="044BB717" w:rsidR="00F72BEA" w:rsidRPr="0072292E" w:rsidRDefault="00F72BEA" w:rsidP="00942E00">
            <w:pPr>
              <w:rPr>
                <w:highlight w:val="lightGray"/>
              </w:rPr>
            </w:pPr>
            <w:r w:rsidRPr="00E748CE">
              <w:t>Enhance active student engagement in their learning within a differentiated curriculum to stimulate and challenge all students.</w:t>
            </w:r>
          </w:p>
        </w:tc>
        <w:tc>
          <w:tcPr>
            <w:tcW w:w="6615" w:type="dxa"/>
            <w:vMerge w:val="restart"/>
            <w:shd w:val="clear" w:color="auto" w:fill="auto"/>
          </w:tcPr>
          <w:p w14:paraId="707D76A9" w14:textId="77777777" w:rsidR="00F72BEA" w:rsidRDefault="00F72BEA" w:rsidP="00E748CE">
            <w:r>
              <w:t xml:space="preserve">Parent Opinion Survey </w:t>
            </w:r>
          </w:p>
          <w:p w14:paraId="183E283C" w14:textId="77777777" w:rsidR="00F72BEA" w:rsidRDefault="00F72BEA" w:rsidP="00E748CE">
            <w:r>
              <w:t>Maintain or increase the following measures from 2017:</w:t>
            </w:r>
          </w:p>
          <w:p w14:paraId="239A3C92" w14:textId="77777777" w:rsidR="00F72BEA" w:rsidRDefault="00F72BEA" w:rsidP="00E748CE">
            <w:r>
              <w:t>•</w:t>
            </w:r>
            <w:r>
              <w:tab/>
              <w:t>Parent participation and involvement</w:t>
            </w:r>
          </w:p>
          <w:p w14:paraId="6F127E69" w14:textId="77777777" w:rsidR="00F72BEA" w:rsidRDefault="00F72BEA" w:rsidP="00E748CE">
            <w:r>
              <w:t>•</w:t>
            </w:r>
            <w:r>
              <w:tab/>
              <w:t xml:space="preserve">School support </w:t>
            </w:r>
          </w:p>
          <w:p w14:paraId="33886606" w14:textId="77777777" w:rsidR="00F72BEA" w:rsidRDefault="00F72BEA" w:rsidP="00E748CE">
            <w:r>
              <w:t>•</w:t>
            </w:r>
            <w:r>
              <w:tab/>
              <w:t xml:space="preserve">Teacher communication </w:t>
            </w:r>
          </w:p>
          <w:p w14:paraId="12BED2F8" w14:textId="77777777" w:rsidR="00F72BEA" w:rsidRDefault="00F72BEA" w:rsidP="00E748CE">
            <w:r>
              <w:t>Staff Opinion Survey</w:t>
            </w:r>
          </w:p>
          <w:p w14:paraId="3DB01EF4" w14:textId="77777777" w:rsidR="00F72BEA" w:rsidRDefault="00F72BEA" w:rsidP="00E748CE">
            <w:r>
              <w:t>Increase from 2017:</w:t>
            </w:r>
          </w:p>
          <w:p w14:paraId="28A04C96" w14:textId="77777777" w:rsidR="00F72BEA" w:rsidRDefault="00F72BEA" w:rsidP="00E748CE">
            <w:r>
              <w:t>•</w:t>
            </w:r>
            <w:r>
              <w:tab/>
              <w:t xml:space="preserve">Collective efficacy </w:t>
            </w:r>
          </w:p>
          <w:p w14:paraId="28A6D715" w14:textId="77777777" w:rsidR="00F72BEA" w:rsidRDefault="00F72BEA" w:rsidP="00E748CE">
            <w:r>
              <w:t>•</w:t>
            </w:r>
            <w:r>
              <w:tab/>
              <w:t>Parent and community involvement</w:t>
            </w:r>
          </w:p>
          <w:p w14:paraId="23960A23" w14:textId="77777777" w:rsidR="00F72BEA" w:rsidRDefault="00F72BEA" w:rsidP="00E748CE">
            <w:r>
              <w:t>•</w:t>
            </w:r>
            <w:r>
              <w:tab/>
              <w:t xml:space="preserve">Teacher collaboration </w:t>
            </w:r>
          </w:p>
          <w:p w14:paraId="4E0F9B75" w14:textId="77777777" w:rsidR="00F72BEA" w:rsidRDefault="00F72BEA" w:rsidP="00E748CE">
            <w:r>
              <w:t>•</w:t>
            </w:r>
            <w:r>
              <w:tab/>
              <w:t xml:space="preserve">Trust in students and parents </w:t>
            </w:r>
          </w:p>
          <w:p w14:paraId="47CBC0EE" w14:textId="77777777" w:rsidR="00F72BEA" w:rsidRDefault="00F72BEA" w:rsidP="00E748CE">
            <w:r>
              <w:t>Student Attitudes To School</w:t>
            </w:r>
          </w:p>
          <w:p w14:paraId="6EB533BD" w14:textId="77777777" w:rsidR="00F72BEA" w:rsidRDefault="00F72BEA" w:rsidP="00E748CE">
            <w:r>
              <w:t xml:space="preserve">Increase from 2017 overall positive responses to: </w:t>
            </w:r>
          </w:p>
          <w:p w14:paraId="388ECC3A" w14:textId="77777777" w:rsidR="00F72BEA" w:rsidRDefault="00F72BEA" w:rsidP="00E748CE">
            <w:r>
              <w:t>•</w:t>
            </w:r>
            <w:r>
              <w:tab/>
              <w:t>Stimulating learning</w:t>
            </w:r>
          </w:p>
          <w:p w14:paraId="593D9C91" w14:textId="77777777" w:rsidR="00F72BEA" w:rsidRDefault="00F72BEA" w:rsidP="00E748CE">
            <w:r>
              <w:t>•</w:t>
            </w:r>
            <w:r>
              <w:tab/>
              <w:t>Student voice / agency</w:t>
            </w:r>
          </w:p>
          <w:p w14:paraId="4A456527" w14:textId="77777777" w:rsidR="00F72BEA" w:rsidRPr="0072292E" w:rsidRDefault="00F72BEA" w:rsidP="00E748CE">
            <w:pPr>
              <w:rPr>
                <w:highlight w:val="lightGray"/>
              </w:rPr>
            </w:pPr>
            <w:r>
              <w:t>•</w:t>
            </w:r>
            <w:r>
              <w:tab/>
              <w:t>Motivation and interest</w:t>
            </w:r>
          </w:p>
          <w:p w14:paraId="634661E2" w14:textId="77777777" w:rsidR="00F72BEA" w:rsidRDefault="00F72BEA" w:rsidP="00A11D62"/>
          <w:p w14:paraId="0B9C30ED" w14:textId="2BAC5C2A" w:rsidR="00F72BEA" w:rsidRPr="0072292E" w:rsidRDefault="00F72BEA" w:rsidP="00A11D62">
            <w:pPr>
              <w:rPr>
                <w:highlight w:val="lightGray"/>
              </w:rPr>
            </w:pPr>
          </w:p>
        </w:tc>
      </w:tr>
      <w:tr w:rsidR="00F72BEA" w14:paraId="013C9365" w14:textId="77777777" w:rsidTr="001D55FA">
        <w:trPr>
          <w:trHeight w:val="1800"/>
        </w:trPr>
        <w:tc>
          <w:tcPr>
            <w:tcW w:w="6663" w:type="dxa"/>
            <w:vMerge/>
            <w:shd w:val="clear" w:color="auto" w:fill="auto"/>
          </w:tcPr>
          <w:p w14:paraId="5C60527B" w14:textId="5D768D5B" w:rsidR="00F72BEA" w:rsidRPr="00E748CE" w:rsidRDefault="00F72BEA" w:rsidP="00274510"/>
        </w:tc>
        <w:tc>
          <w:tcPr>
            <w:tcW w:w="2694" w:type="dxa"/>
            <w:vMerge/>
            <w:shd w:val="clear" w:color="auto" w:fill="auto"/>
          </w:tcPr>
          <w:p w14:paraId="764916B7" w14:textId="77777777" w:rsidR="00F72BEA" w:rsidRDefault="00F72BEA" w:rsidP="00A05F71"/>
        </w:tc>
        <w:tc>
          <w:tcPr>
            <w:tcW w:w="6615" w:type="dxa"/>
            <w:tcBorders>
              <w:bottom w:val="single" w:sz="4" w:space="0" w:color="auto"/>
            </w:tcBorders>
            <w:shd w:val="clear" w:color="auto" w:fill="auto"/>
          </w:tcPr>
          <w:p w14:paraId="49D098A1" w14:textId="168DF7C1" w:rsidR="00F72BEA" w:rsidRPr="00F72BEA" w:rsidRDefault="00F72BEA" w:rsidP="00F72BEA">
            <w:pPr>
              <w:rPr>
                <w:highlight w:val="lightGray"/>
              </w:rPr>
            </w:pPr>
          </w:p>
        </w:tc>
        <w:tc>
          <w:tcPr>
            <w:tcW w:w="6615" w:type="dxa"/>
            <w:vMerge/>
            <w:shd w:val="clear" w:color="auto" w:fill="auto"/>
          </w:tcPr>
          <w:p w14:paraId="3742301D" w14:textId="77777777" w:rsidR="00F72BEA" w:rsidRDefault="00F72BEA" w:rsidP="00A11D62"/>
        </w:tc>
      </w:tr>
      <w:tr w:rsidR="00F72BEA" w14:paraId="4CFAE185" w14:textId="77777777" w:rsidTr="00480072">
        <w:trPr>
          <w:trHeight w:val="1800"/>
        </w:trPr>
        <w:tc>
          <w:tcPr>
            <w:tcW w:w="6663" w:type="dxa"/>
            <w:vMerge/>
            <w:tcBorders>
              <w:bottom w:val="single" w:sz="4" w:space="0" w:color="auto"/>
            </w:tcBorders>
            <w:shd w:val="clear" w:color="auto" w:fill="auto"/>
          </w:tcPr>
          <w:p w14:paraId="05992A43" w14:textId="77777777" w:rsidR="00F72BEA" w:rsidRPr="00E748CE" w:rsidRDefault="00F72BEA" w:rsidP="00274510"/>
        </w:tc>
        <w:tc>
          <w:tcPr>
            <w:tcW w:w="2694" w:type="dxa"/>
            <w:vMerge/>
            <w:tcBorders>
              <w:bottom w:val="single" w:sz="4" w:space="0" w:color="auto"/>
            </w:tcBorders>
            <w:shd w:val="clear" w:color="auto" w:fill="auto"/>
          </w:tcPr>
          <w:p w14:paraId="5FF7111F" w14:textId="77777777" w:rsidR="00F72BEA" w:rsidRDefault="00F72BEA" w:rsidP="00A05F71"/>
        </w:tc>
        <w:tc>
          <w:tcPr>
            <w:tcW w:w="6615" w:type="dxa"/>
            <w:tcBorders>
              <w:bottom w:val="single" w:sz="4" w:space="0" w:color="auto"/>
            </w:tcBorders>
            <w:shd w:val="clear" w:color="auto" w:fill="auto"/>
          </w:tcPr>
          <w:p w14:paraId="2458C8BA" w14:textId="30A04F46" w:rsidR="00F72BEA" w:rsidRPr="00E748CE" w:rsidRDefault="00F72BEA" w:rsidP="00942E00">
            <w:r w:rsidRPr="00E748CE">
              <w:t>Embed a culture of parent</w:t>
            </w:r>
            <w:r>
              <w:t>s</w:t>
            </w:r>
            <w:r w:rsidRPr="00E748CE">
              <w:t xml:space="preserve"> as partners in learning.</w:t>
            </w:r>
          </w:p>
        </w:tc>
        <w:tc>
          <w:tcPr>
            <w:tcW w:w="6615" w:type="dxa"/>
            <w:vMerge/>
            <w:tcBorders>
              <w:bottom w:val="single" w:sz="4" w:space="0" w:color="auto"/>
            </w:tcBorders>
            <w:shd w:val="clear" w:color="auto" w:fill="auto"/>
          </w:tcPr>
          <w:p w14:paraId="7D1941B6" w14:textId="77777777" w:rsidR="00F72BEA" w:rsidRDefault="00F72BEA" w:rsidP="00A11D62"/>
        </w:tc>
      </w:tr>
      <w:tr w:rsidR="00F72BEA" w14:paraId="799952FE" w14:textId="38395324" w:rsidTr="005F3205">
        <w:trPr>
          <w:trHeight w:val="4030"/>
        </w:trPr>
        <w:tc>
          <w:tcPr>
            <w:tcW w:w="6663" w:type="dxa"/>
            <w:shd w:val="clear" w:color="auto" w:fill="auto"/>
          </w:tcPr>
          <w:p w14:paraId="19BCEB1B" w14:textId="707FC78B" w:rsidR="00F72BEA" w:rsidRPr="0072292E" w:rsidRDefault="00F72BEA" w:rsidP="00A05F71">
            <w:pPr>
              <w:rPr>
                <w:highlight w:val="lightGray"/>
              </w:rPr>
            </w:pPr>
            <w:r w:rsidRPr="00F72BEA">
              <w:t>Develop leadership that is shared and distributed</w:t>
            </w:r>
            <w:r w:rsidRPr="00A11D62">
              <w:rPr>
                <w:b/>
              </w:rPr>
              <w:t>.</w:t>
            </w:r>
          </w:p>
        </w:tc>
        <w:tc>
          <w:tcPr>
            <w:tcW w:w="2694" w:type="dxa"/>
            <w:shd w:val="clear" w:color="auto" w:fill="auto"/>
          </w:tcPr>
          <w:p w14:paraId="0660F310" w14:textId="77777777" w:rsidR="00F72BEA" w:rsidRPr="00F72BEA" w:rsidRDefault="00F72BEA" w:rsidP="00F72BEA">
            <w:r w:rsidRPr="00F72BEA">
              <w:t>FISO Priority:</w:t>
            </w:r>
          </w:p>
          <w:p w14:paraId="50596B9A" w14:textId="77777777" w:rsidR="00F72BEA" w:rsidRPr="00F72BEA" w:rsidRDefault="00F72BEA" w:rsidP="00F72BEA">
            <w:r w:rsidRPr="00F72BEA">
              <w:t xml:space="preserve">Professional leadership </w:t>
            </w:r>
          </w:p>
          <w:p w14:paraId="1181D508" w14:textId="77777777" w:rsidR="00F72BEA" w:rsidRPr="00F72BEA" w:rsidRDefault="00F72BEA" w:rsidP="00F72BEA"/>
          <w:p w14:paraId="2D2205B0" w14:textId="3CD63E77" w:rsidR="00F72BEA" w:rsidRPr="0072292E" w:rsidRDefault="00F72BEA" w:rsidP="00F72BEA">
            <w:pPr>
              <w:rPr>
                <w:b/>
              </w:rPr>
            </w:pPr>
            <w:r w:rsidRPr="00F72BEA">
              <w:t>Initiative: Instructional and shared leadership</w:t>
            </w:r>
          </w:p>
        </w:tc>
        <w:tc>
          <w:tcPr>
            <w:tcW w:w="6615" w:type="dxa"/>
            <w:shd w:val="clear" w:color="auto" w:fill="auto"/>
          </w:tcPr>
          <w:p w14:paraId="6EDB9969" w14:textId="3A78FDCC" w:rsidR="00F72BEA" w:rsidRPr="0072292E" w:rsidRDefault="00F72BEA" w:rsidP="00A05F71">
            <w:pPr>
              <w:rPr>
                <w:highlight w:val="lightGray"/>
              </w:rPr>
            </w:pPr>
            <w:r w:rsidRPr="00A11D62">
              <w:t>Enhance the schools capacity in Instructional &amp; Shared Leadership</w:t>
            </w:r>
          </w:p>
        </w:tc>
        <w:tc>
          <w:tcPr>
            <w:tcW w:w="6615" w:type="dxa"/>
            <w:shd w:val="clear" w:color="auto" w:fill="auto"/>
          </w:tcPr>
          <w:p w14:paraId="3F6F1788" w14:textId="77777777" w:rsidR="00F72BEA" w:rsidRDefault="00F72BEA" w:rsidP="00F72BEA">
            <w:r>
              <w:t>To increase the following measures from the 2018 Staff Opinion Survey:</w:t>
            </w:r>
          </w:p>
          <w:p w14:paraId="23E69101" w14:textId="77777777" w:rsidR="00F72BEA" w:rsidRDefault="00F72BEA" w:rsidP="00F72BEA">
            <w:r>
              <w:t>◦Overall score from the school leadership module.</w:t>
            </w:r>
          </w:p>
          <w:p w14:paraId="5F55899C" w14:textId="77777777" w:rsidR="00F72BEA" w:rsidRDefault="00F72BEA" w:rsidP="00F72BEA">
            <w:r>
              <w:t>◦Overall score from the Professional Learning module.</w:t>
            </w:r>
          </w:p>
          <w:p w14:paraId="6F8D12FD" w14:textId="77777777" w:rsidR="00F72BEA" w:rsidRDefault="00F72BEA" w:rsidP="00F72BEA"/>
          <w:p w14:paraId="121E74A4" w14:textId="77777777" w:rsidR="00F72BEA" w:rsidRDefault="00F72BEA" w:rsidP="00F72BEA">
            <w:r>
              <w:t>To Increase the overall positive responses from the 2017 Attitudes to School Survey:</w:t>
            </w:r>
          </w:p>
          <w:p w14:paraId="356D6D74" w14:textId="77777777" w:rsidR="00F72BEA" w:rsidRDefault="00F72BEA" w:rsidP="00F72BEA">
            <w:r>
              <w:t>◦Effective teaching time.</w:t>
            </w:r>
          </w:p>
          <w:p w14:paraId="420CC59F" w14:textId="77777777" w:rsidR="00F72BEA" w:rsidRDefault="00F72BEA" w:rsidP="00F72BEA">
            <w:r>
              <w:t>◦differentiated learning challenge.</w:t>
            </w:r>
          </w:p>
          <w:p w14:paraId="0A376F23" w14:textId="7F062D5D" w:rsidR="00F72BEA" w:rsidRPr="0072292E" w:rsidRDefault="00F72BEA" w:rsidP="00F72BEA">
            <w:pPr>
              <w:rPr>
                <w:highlight w:val="lightGray"/>
              </w:rPr>
            </w:pPr>
            <w:r>
              <w:t>◦Stimulating Learning.</w:t>
            </w:r>
          </w:p>
        </w:tc>
      </w:tr>
    </w:tbl>
    <w:p w14:paraId="49995CCD" w14:textId="7C1336D4" w:rsidR="005D1881" w:rsidRPr="00E23FC3" w:rsidRDefault="005D1881" w:rsidP="00665F3B">
      <w:pPr>
        <w:tabs>
          <w:tab w:val="left" w:pos="1875"/>
        </w:tabs>
      </w:pPr>
    </w:p>
    <w:sectPr w:rsidR="005D1881" w:rsidRPr="00E23FC3" w:rsidSect="0062345F">
      <w:headerReference w:type="default" r:id="rId12"/>
      <w:footerReference w:type="default" r:id="rId13"/>
      <w:pgSz w:w="23814" w:h="16839" w:orient="landscape" w:code="8"/>
      <w:pgMar w:top="993" w:right="1440" w:bottom="1440" w:left="1440" w:header="708" w:footer="0"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130D" w14:textId="77777777" w:rsidR="00640357" w:rsidRDefault="00640357" w:rsidP="00974440">
      <w:r>
        <w:separator/>
      </w:r>
    </w:p>
  </w:endnote>
  <w:endnote w:type="continuationSeparator" w:id="0">
    <w:p w14:paraId="6E095F97" w14:textId="77777777" w:rsidR="00640357" w:rsidRDefault="00640357"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D34" w14:textId="2C564862" w:rsidR="00974440" w:rsidRDefault="00DE45AD" w:rsidP="0062345F">
    <w:pPr>
      <w:pStyle w:val="Footer"/>
      <w:tabs>
        <w:tab w:val="clear" w:pos="9026"/>
        <w:tab w:val="right" w:pos="12616"/>
      </w:tabs>
      <w:jc w:val="both"/>
    </w:pPr>
    <w:r w:rsidRPr="00DE45AD">
      <w:rPr>
        <w:noProof/>
        <w:lang w:eastAsia="en-AU"/>
      </w:rPr>
      <w:drawing>
        <wp:inline distT="0" distB="0" distL="0" distR="0" wp14:anchorId="5D06818A" wp14:editId="2A4D1C9A">
          <wp:extent cx="13373100" cy="830468"/>
          <wp:effectExtent l="0" t="0" r="0" b="8255"/>
          <wp:docPr id="1" name="Picture 1" descr="C:\Users\09384802\Pictures\FISO footer A3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84802\Pictures\FISO footer A3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982" cy="8389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6757" w14:textId="77777777" w:rsidR="00640357" w:rsidRDefault="00640357" w:rsidP="00974440">
      <w:r>
        <w:separator/>
      </w:r>
    </w:p>
  </w:footnote>
  <w:footnote w:type="continuationSeparator" w:id="0">
    <w:p w14:paraId="7B299209" w14:textId="77777777" w:rsidR="00640357" w:rsidRDefault="00640357" w:rsidP="009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E168" w14:textId="7F18D416" w:rsidR="004725D1" w:rsidRPr="0062345F" w:rsidRDefault="0062345F" w:rsidP="0062345F">
    <w:pPr>
      <w:pStyle w:val="Footer"/>
      <w:tabs>
        <w:tab w:val="clear" w:pos="9026"/>
        <w:tab w:val="right" w:pos="12616"/>
      </w:tabs>
      <w:jc w:val="right"/>
      <w:rPr>
        <w:sz w:val="18"/>
      </w:rPr>
    </w:pPr>
    <w:r w:rsidRPr="0062345F">
      <w:rPr>
        <w:sz w:val="18"/>
      </w:rPr>
      <w:t xml:space="preserve"> Published: March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1290E"/>
    <w:rsid w:val="0001550E"/>
    <w:rsid w:val="000159DE"/>
    <w:rsid w:val="000366F3"/>
    <w:rsid w:val="000471C8"/>
    <w:rsid w:val="00051AFD"/>
    <w:rsid w:val="00055235"/>
    <w:rsid w:val="000925E5"/>
    <w:rsid w:val="000940D9"/>
    <w:rsid w:val="00095FB8"/>
    <w:rsid w:val="000A15F3"/>
    <w:rsid w:val="000A469C"/>
    <w:rsid w:val="000C2706"/>
    <w:rsid w:val="001148BF"/>
    <w:rsid w:val="00194246"/>
    <w:rsid w:val="001C1C92"/>
    <w:rsid w:val="001C713E"/>
    <w:rsid w:val="001F7B2C"/>
    <w:rsid w:val="0023352C"/>
    <w:rsid w:val="00274510"/>
    <w:rsid w:val="002A4359"/>
    <w:rsid w:val="002A52B0"/>
    <w:rsid w:val="002A6E77"/>
    <w:rsid w:val="002B14ED"/>
    <w:rsid w:val="00300E45"/>
    <w:rsid w:val="00322898"/>
    <w:rsid w:val="00356F7D"/>
    <w:rsid w:val="00367C8D"/>
    <w:rsid w:val="00387A1A"/>
    <w:rsid w:val="00397465"/>
    <w:rsid w:val="003A67F0"/>
    <w:rsid w:val="003A73ED"/>
    <w:rsid w:val="003B4C29"/>
    <w:rsid w:val="003D3F40"/>
    <w:rsid w:val="003E6DD0"/>
    <w:rsid w:val="004568F8"/>
    <w:rsid w:val="0046256B"/>
    <w:rsid w:val="004725D1"/>
    <w:rsid w:val="0047280E"/>
    <w:rsid w:val="004B5DD7"/>
    <w:rsid w:val="004C044E"/>
    <w:rsid w:val="004E7450"/>
    <w:rsid w:val="00520115"/>
    <w:rsid w:val="00542AB9"/>
    <w:rsid w:val="0054608F"/>
    <w:rsid w:val="00582A13"/>
    <w:rsid w:val="005A61C0"/>
    <w:rsid w:val="005B0635"/>
    <w:rsid w:val="005D1881"/>
    <w:rsid w:val="005E6A1C"/>
    <w:rsid w:val="005F2D03"/>
    <w:rsid w:val="005F7189"/>
    <w:rsid w:val="0062345F"/>
    <w:rsid w:val="00624C9C"/>
    <w:rsid w:val="00632BFE"/>
    <w:rsid w:val="00640357"/>
    <w:rsid w:val="006569E2"/>
    <w:rsid w:val="00665F3B"/>
    <w:rsid w:val="006935E6"/>
    <w:rsid w:val="006E69E4"/>
    <w:rsid w:val="006F5C37"/>
    <w:rsid w:val="00707695"/>
    <w:rsid w:val="0072292E"/>
    <w:rsid w:val="00722CB1"/>
    <w:rsid w:val="007274A1"/>
    <w:rsid w:val="007316E4"/>
    <w:rsid w:val="00735A4B"/>
    <w:rsid w:val="007630A0"/>
    <w:rsid w:val="007656C7"/>
    <w:rsid w:val="00770280"/>
    <w:rsid w:val="00773BA5"/>
    <w:rsid w:val="0080062C"/>
    <w:rsid w:val="00806298"/>
    <w:rsid w:val="008138B6"/>
    <w:rsid w:val="00844EAB"/>
    <w:rsid w:val="008A7EAA"/>
    <w:rsid w:val="008C0562"/>
    <w:rsid w:val="008E4759"/>
    <w:rsid w:val="009024E2"/>
    <w:rsid w:val="00907788"/>
    <w:rsid w:val="009204E5"/>
    <w:rsid w:val="00942E00"/>
    <w:rsid w:val="00974440"/>
    <w:rsid w:val="009872A9"/>
    <w:rsid w:val="009C1955"/>
    <w:rsid w:val="009D3CDE"/>
    <w:rsid w:val="00A11D62"/>
    <w:rsid w:val="00A83E3E"/>
    <w:rsid w:val="00A9733C"/>
    <w:rsid w:val="00AC222C"/>
    <w:rsid w:val="00B10F75"/>
    <w:rsid w:val="00B1702A"/>
    <w:rsid w:val="00B23E83"/>
    <w:rsid w:val="00B55CEE"/>
    <w:rsid w:val="00B85BE6"/>
    <w:rsid w:val="00C100E7"/>
    <w:rsid w:val="00C470C4"/>
    <w:rsid w:val="00C53249"/>
    <w:rsid w:val="00C57A73"/>
    <w:rsid w:val="00C75C52"/>
    <w:rsid w:val="00CA7CF2"/>
    <w:rsid w:val="00CC3C81"/>
    <w:rsid w:val="00CC615B"/>
    <w:rsid w:val="00CF5ED9"/>
    <w:rsid w:val="00D0715E"/>
    <w:rsid w:val="00D8689A"/>
    <w:rsid w:val="00DA0748"/>
    <w:rsid w:val="00DA6410"/>
    <w:rsid w:val="00DC072B"/>
    <w:rsid w:val="00DD0650"/>
    <w:rsid w:val="00DD12F8"/>
    <w:rsid w:val="00DE45AD"/>
    <w:rsid w:val="00E23FC3"/>
    <w:rsid w:val="00E257F3"/>
    <w:rsid w:val="00E67E9B"/>
    <w:rsid w:val="00E748CE"/>
    <w:rsid w:val="00E81392"/>
    <w:rsid w:val="00EA551B"/>
    <w:rsid w:val="00EB7105"/>
    <w:rsid w:val="00EE7142"/>
    <w:rsid w:val="00F208D7"/>
    <w:rsid w:val="00F4144D"/>
    <w:rsid w:val="00F446EB"/>
    <w:rsid w:val="00F72BEA"/>
    <w:rsid w:val="00FA308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95C9E"/>
  <w15:docId w15:val="{ADEE3281-29FF-4885-96FA-76F2141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 w:type="paragraph" w:customStyle="1" w:styleId="Table-Entry">
    <w:name w:val="Table - Entry"/>
    <w:basedOn w:val="Normal"/>
    <w:rsid w:val="00E748CE"/>
    <w:pPr>
      <w:widowControl w:val="0"/>
      <w:tabs>
        <w:tab w:val="left" w:pos="205"/>
      </w:tabs>
      <w:autoSpaceDE w:val="0"/>
      <w:autoSpaceDN w:val="0"/>
      <w:adjustRightInd w:val="0"/>
    </w:pPr>
    <w:rPr>
      <w:rFonts w:ascii="Arial" w:eastAsia="Times New Roman"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3.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4.xml><?xml version="1.0" encoding="utf-8"?>
<ds:datastoreItem xmlns:ds="http://schemas.openxmlformats.org/officeDocument/2006/customXml" ds:itemID="{D57B6D12-B58A-4479-9E2C-BA2596EFC98A}">
  <ds:schemaRefs>
    <ds:schemaRef ds:uri="http://schemas.microsoft.com/Sharepoint/v3"/>
    <ds:schemaRef ds:uri="http://purl.org/dc/terms/"/>
    <ds:schemaRef ds:uri="d2d43896-245d-412b-9865-a0e2354e994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4"/>
    <ds:schemaRef ds:uri="2fb8e541-c96b-4620-b82c-f319e82f9fb1"/>
    <ds:schemaRef ds:uri="b18ed191-9664-4865-9546-49bc3f5dd491"/>
    <ds:schemaRef ds:uri="http://www.w3.org/XML/1998/namespace"/>
    <ds:schemaRef ds:uri="http://purl.org/dc/dcmitype/"/>
  </ds:schemaRefs>
</ds:datastoreItem>
</file>

<file path=customXml/itemProps5.xml><?xml version="1.0" encoding="utf-8"?>
<ds:datastoreItem xmlns:ds="http://schemas.openxmlformats.org/officeDocument/2006/customXml" ds:itemID="{18B6DF08-DDC2-4F7F-8B21-D9D926F3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Cashen, Janine J</cp:lastModifiedBy>
  <cp:revision>2</cp:revision>
  <cp:lastPrinted>2016-02-15T02:21:00Z</cp:lastPrinted>
  <dcterms:created xsi:type="dcterms:W3CDTF">2018-03-01T04:51:00Z</dcterms:created>
  <dcterms:modified xsi:type="dcterms:W3CDTF">2018-03-01T04:51:00Z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2017-03-29T09:14:22.4664949+11:00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