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470D" w:rsidRDefault="00B5111D" w:rsidP="00AF1438">
      <w:pPr>
        <w:ind w:left="540" w:right="419"/>
        <w:rPr>
          <w:b/>
          <w:color w:val="AF272F"/>
          <w:sz w:val="36"/>
          <w:szCs w:val="44"/>
        </w:rPr>
      </w:pPr>
      <w:bookmarkStart w:id="0" w:name="_GoBack"/>
      <w:bookmarkEnd w:id="0"/>
      <w:r>
        <w:rPr>
          <w:noProof/>
          <w:lang w:val="en-AU" w:eastAsia="en-AU"/>
        </w:rPr>
        <w:drawing>
          <wp:anchor distT="0" distB="0" distL="114300" distR="114300" simplePos="0" relativeHeight="251662336" behindDoc="1" locked="0" layoutInCell="1" allowOverlap="1">
            <wp:simplePos x="0" y="0"/>
            <wp:positionH relativeFrom="column">
              <wp:posOffset>4791075</wp:posOffset>
            </wp:positionH>
            <wp:positionV relativeFrom="paragraph">
              <wp:posOffset>24130</wp:posOffset>
            </wp:positionV>
            <wp:extent cx="1854835" cy="627380"/>
            <wp:effectExtent l="0" t="0" r="0" b="1270"/>
            <wp:wrapNone/>
            <wp:docPr id="3" name="img9.png"/>
            <wp:cNvGraphicFramePr/>
            <a:graphic xmlns:a="http://schemas.openxmlformats.org/drawingml/2006/main">
              <a:graphicData uri="http://schemas.openxmlformats.org/drawingml/2006/picture">
                <pic:pic xmlns:pic="http://schemas.openxmlformats.org/drawingml/2006/picture">
                  <pic:nvPicPr>
                    <pic:cNvPr id="7" name="img9.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854835" cy="627380"/>
                    </a:xfrm>
                    <a:prstGeom prst="rect">
                      <a:avLst/>
                    </a:prstGeom>
                  </pic:spPr>
                </pic:pic>
              </a:graphicData>
            </a:graphic>
          </wp:anchor>
        </w:drawing>
      </w:r>
      <w:r w:rsidRPr="003E2621">
        <w:rPr>
          <w:b/>
          <w:noProof/>
          <w:color w:val="AF272F"/>
          <w:sz w:val="36"/>
          <w:szCs w:val="36"/>
        </w:rPr>
        <w:t>2018</w:t>
      </w:r>
      <w:r>
        <w:rPr>
          <w:b/>
          <w:color w:val="AF272F"/>
          <w:sz w:val="36"/>
          <w:szCs w:val="36"/>
        </w:rPr>
        <w:t xml:space="preserve"> </w:t>
      </w:r>
      <w:r w:rsidRPr="003E2621">
        <w:rPr>
          <w:b/>
          <w:color w:val="AF272F"/>
          <w:sz w:val="36"/>
          <w:szCs w:val="44"/>
        </w:rPr>
        <w:t xml:space="preserve">Annual </w:t>
      </w:r>
      <w:r>
        <w:rPr>
          <w:b/>
          <w:color w:val="AF272F"/>
          <w:sz w:val="36"/>
          <w:szCs w:val="44"/>
        </w:rPr>
        <w:t>Report to</w:t>
      </w:r>
    </w:p>
    <w:p w:rsidR="00B076DB" w:rsidRDefault="00B5111D" w:rsidP="00AF1438">
      <w:pPr>
        <w:ind w:left="540" w:right="419"/>
        <w:rPr>
          <w:color w:val="595959" w:themeColor="text1" w:themeTint="A6"/>
        </w:rPr>
      </w:pPr>
      <w:r>
        <w:rPr>
          <w:b/>
          <w:color w:val="AF272F"/>
          <w:sz w:val="36"/>
          <w:szCs w:val="44"/>
        </w:rPr>
        <w:t>The School Community</w:t>
      </w:r>
      <w:r>
        <w:rPr>
          <w:b/>
          <w:color w:val="AF272F"/>
          <w:sz w:val="36"/>
          <w:szCs w:val="44"/>
        </w:rPr>
        <w:br/>
      </w:r>
      <w:r>
        <w:rPr>
          <w:b/>
          <w:color w:val="AF272F"/>
          <w:sz w:val="32"/>
          <w:szCs w:val="32"/>
        </w:rPr>
        <w:br/>
      </w:r>
      <w:r>
        <w:rPr>
          <w:b/>
          <w:noProof/>
          <w:color w:val="AF272F"/>
          <w:sz w:val="32"/>
          <w:szCs w:val="32"/>
        </w:rPr>
        <w:t xml:space="preserve">School Name: </w:t>
      </w:r>
      <w:r w:rsidRPr="003E2621">
        <w:rPr>
          <w:b/>
          <w:noProof/>
          <w:color w:val="AF272F"/>
          <w:sz w:val="36"/>
          <w:szCs w:val="36"/>
        </w:rPr>
        <w:t>Osbornes Flat Primary School (1463)</w:t>
      </w:r>
    </w:p>
    <w:p w:rsidR="00BE480F" w:rsidRPr="00361721" w:rsidRDefault="004872F1" w:rsidP="00AF1438">
      <w:pPr>
        <w:ind w:left="540" w:right="419"/>
        <w:rPr>
          <w:color w:val="AF272F"/>
          <w:sz w:val="32"/>
          <w:szCs w:val="32"/>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1"/>
        <w:gridCol w:w="6916"/>
      </w:tblGrid>
      <w:tr w:rsidR="003360A1" w:rsidTr="00CB7ABD">
        <w:trPr>
          <w:trHeight w:val="11387"/>
        </w:trPr>
        <w:tc>
          <w:tcPr>
            <w:tcW w:w="3141" w:type="dxa"/>
          </w:tcPr>
          <w:p w:rsidR="00821302" w:rsidRDefault="004872F1" w:rsidP="00BE480F">
            <w:pPr>
              <w:pStyle w:val="ESHeading2"/>
              <w:rPr>
                <w:b w:val="0"/>
                <w:sz w:val="18"/>
                <w:szCs w:val="18"/>
              </w:rPr>
            </w:pPr>
          </w:p>
          <w:p w:rsidR="00BE480F" w:rsidRPr="00BE480F" w:rsidRDefault="00B5111D" w:rsidP="00BE480F">
            <w:pPr>
              <w:pStyle w:val="ESHeading2"/>
              <w:rPr>
                <w:b w:val="0"/>
                <w:sz w:val="18"/>
                <w:szCs w:val="18"/>
              </w:rPr>
            </w:pPr>
            <w:r>
              <w:rPr>
                <w:b w:val="0"/>
                <w:noProof/>
                <w:sz w:val="18"/>
                <w:szCs w:val="18"/>
                <w:lang w:val="en-AU" w:eastAsia="en-AU"/>
              </w:rPr>
              <w:drawing>
                <wp:anchor distT="0" distB="0" distL="114300" distR="114300" simplePos="0" relativeHeight="251658240" behindDoc="1" locked="0" layoutInCell="1" allowOverlap="1">
                  <wp:simplePos x="0" y="0"/>
                  <wp:positionH relativeFrom="page">
                    <wp:align>center</wp:align>
                  </wp:positionH>
                  <wp:positionV relativeFrom="paragraph">
                    <wp:posOffset>0</wp:posOffset>
                  </wp:positionV>
                  <wp:extent cx="1428949" cy="1028844"/>
                  <wp:effectExtent l="0" t="0" r="0" b="0"/>
                  <wp:wrapNone/>
                  <wp:docPr id="100020" name="Picture 100020"/>
                  <wp:cNvGraphicFramePr/>
                  <a:graphic xmlns:a="http://schemas.openxmlformats.org/drawingml/2006/main">
                    <a:graphicData uri="http://schemas.openxmlformats.org/drawingml/2006/picture">
                      <pic:pic xmlns:pic="http://schemas.openxmlformats.org/drawingml/2006/picture">
                        <pic:nvPicPr>
                          <pic:cNvPr id="100020" name=""/>
                          <pic:cNvPicPr/>
                        </pic:nvPicPr>
                        <pic:blipFill>
                          <a:blip r:embed="rId13"/>
                          <a:stretch>
                            <a:fillRect/>
                          </a:stretch>
                        </pic:blipFill>
                        <pic:spPr>
                          <a:xfrm>
                            <a:off x="0" y="0"/>
                            <a:ext cx="1428949" cy="1028844"/>
                          </a:xfrm>
                          <a:prstGeom prst="rect">
                            <a:avLst/>
                          </a:prstGeom>
                        </pic:spPr>
                      </pic:pic>
                    </a:graphicData>
                  </a:graphic>
                </wp:anchor>
              </w:drawing>
            </w:r>
          </w:p>
          <w:p w:rsidR="00BE480F" w:rsidRPr="00BE480F" w:rsidRDefault="00B5111D" w:rsidP="00BE480F">
            <w:pPr>
              <w:ind w:right="419"/>
              <w:rPr>
                <w:color w:val="595959" w:themeColor="text1" w:themeTint="A6"/>
              </w:rPr>
            </w:pPr>
            <w:r w:rsidRPr="00BE480F">
              <w:rPr>
                <w:noProof/>
                <w:lang w:val="en-AU" w:eastAsia="en-AU"/>
              </w:rPr>
              <w:drawing>
                <wp:anchor distT="0" distB="0" distL="114300" distR="114300" simplePos="0" relativeHeight="251661312" behindDoc="1" locked="0" layoutInCell="1" allowOverlap="1">
                  <wp:simplePos x="0" y="0"/>
                  <wp:positionH relativeFrom="margin">
                    <wp:posOffset>-47625</wp:posOffset>
                  </wp:positionH>
                  <wp:positionV relativeFrom="paragraph">
                    <wp:posOffset>2438400</wp:posOffset>
                  </wp:positionV>
                  <wp:extent cx="1819275" cy="4406265"/>
                  <wp:effectExtent l="0" t="0" r="9525" b="0"/>
                  <wp:wrapNone/>
                  <wp:docPr id="5" name="img10.png"/>
                  <wp:cNvGraphicFramePr/>
                  <a:graphic xmlns:a="http://schemas.openxmlformats.org/drawingml/2006/main">
                    <a:graphicData uri="http://schemas.openxmlformats.org/drawingml/2006/picture">
                      <pic:pic xmlns:pic="http://schemas.openxmlformats.org/drawingml/2006/picture">
                        <pic:nvPicPr>
                          <pic:cNvPr id="9" name="img10.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819275" cy="4406265"/>
                          </a:xfrm>
                          <a:prstGeom prst="rect">
                            <a:avLst/>
                          </a:prstGeom>
                        </pic:spPr>
                      </pic:pic>
                    </a:graphicData>
                  </a:graphic>
                </wp:anchor>
              </w:drawing>
            </w:r>
          </w:p>
        </w:tc>
        <w:tc>
          <w:tcPr>
            <w:tcW w:w="6916" w:type="dxa"/>
          </w:tcPr>
          <w:p w:rsidR="00BE480F" w:rsidRDefault="00B5111D" w:rsidP="006932E3">
            <w:pPr>
              <w:ind w:right="419"/>
              <w:rPr>
                <w:color w:val="595959" w:themeColor="text1" w:themeTint="A6"/>
              </w:rPr>
            </w:pPr>
            <w:r>
              <w:rPr>
                <w:noProof/>
                <w:lang w:val="en-AU" w:eastAsia="en-AU"/>
              </w:rPr>
              <mc:AlternateContent>
                <mc:Choice Requires="wps">
                  <w:drawing>
                    <wp:anchor distT="0" distB="0" distL="114300" distR="114300" simplePos="0" relativeHeight="251660288" behindDoc="0" locked="0" layoutInCell="1" allowOverlap="1">
                      <wp:simplePos x="0" y="0"/>
                      <wp:positionH relativeFrom="margin">
                        <wp:posOffset>300990</wp:posOffset>
                      </wp:positionH>
                      <wp:positionV relativeFrom="paragraph">
                        <wp:posOffset>581025</wp:posOffset>
                      </wp:positionV>
                      <wp:extent cx="3905250" cy="60864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0" cy="6086475"/>
                              </a:xfrm>
                              <a:prstGeom prst="rect">
                                <a:avLst/>
                              </a:prstGeom>
                              <a:noFill/>
                              <a:ln>
                                <a:noFill/>
                              </a:ln>
                              <a:extLst>
                                <a:ext uri="{909E8E84-426E-40DD-AFC4-6F175D3DCCD1}">
                                  <a14:hiddenFill xmlns:a14="http://schemas.microsoft.com/office/drawing/2010/main">
                                    <a:solidFill>
                                      <a:schemeClr val="lt1">
                                        <a:lumMod val="100000"/>
                                        <a:lumOff val="0"/>
                                      </a:schemeClr>
                                    </a:solidFill>
                                  </a14:hiddenFill>
                                </a:ext>
                                <a:ext uri="{91240B29-F687-4F45-9708-019B960494DF}">
                                  <a14:hiddenLine xmlns:a14="http://schemas.microsoft.com/office/drawing/2010/main" w="6350">
                                    <a:solidFill>
                                      <a:srgbClr val="000000"/>
                                    </a:solidFill>
                                    <a:miter lim="800000"/>
                                    <a:headEnd/>
                                    <a:tailEnd/>
                                  </a14:hiddenLine>
                                </a:ext>
                              </a:extLst>
                            </wps:spPr>
                            <wps:txbx>
                              <w:txbxContent>
                                <w:tbl>
                                  <w:tblPr>
                                    <w:tblStyle w:val="TableGrid"/>
                                    <w:tblW w:w="5356" w:type="dxa"/>
                                    <w:tblInd w:w="-5" w:type="dxa"/>
                                    <w:tblBorders>
                                      <w:top w:val="dashed" w:sz="4" w:space="0" w:color="auto"/>
                                      <w:left w:val="dashed" w:sz="4" w:space="0" w:color="auto"/>
                                      <w:bottom w:val="dashed" w:sz="4" w:space="0" w:color="auto"/>
                                      <w:right w:val="dashed" w:sz="4" w:space="0" w:color="auto"/>
                                      <w:insideH w:val="none" w:sz="0" w:space="0" w:color="auto"/>
                                      <w:insideV w:val="none" w:sz="0" w:space="0" w:color="auto"/>
                                    </w:tblBorders>
                                    <w:tblCellMar>
                                      <w:top w:w="142" w:type="dxa"/>
                                      <w:left w:w="284" w:type="dxa"/>
                                      <w:bottom w:w="142" w:type="dxa"/>
                                      <w:right w:w="142" w:type="dxa"/>
                                    </w:tblCellMar>
                                    <w:tblLook w:val="04A0" w:firstRow="1" w:lastRow="0" w:firstColumn="1" w:lastColumn="0" w:noHBand="0" w:noVBand="1"/>
                                  </w:tblPr>
                                  <w:tblGrid>
                                    <w:gridCol w:w="5356"/>
                                  </w:tblGrid>
                                  <w:tr w:rsidR="003360A1" w:rsidTr="007C1665">
                                    <w:trPr>
                                      <w:trHeight w:val="18"/>
                                    </w:trPr>
                                    <w:tc>
                                      <w:tcPr>
                                        <w:tcW w:w="5356" w:type="dxa"/>
                                        <w:vAlign w:val="center"/>
                                      </w:tcPr>
                                      <w:p w:rsidR="006932E3" w:rsidRPr="009D4C10" w:rsidRDefault="00B5111D" w:rsidP="007C1665">
                                        <w:pPr>
                                          <w:numPr>
                                            <w:ilvl w:val="0"/>
                                            <w:numId w:val="25"/>
                                          </w:numPr>
                                          <w:spacing w:after="0" w:line="240" w:lineRule="auto"/>
                                          <w:ind w:left="301"/>
                                        </w:pPr>
                                        <w:r w:rsidRPr="009D4C10">
                                          <w:t>All teachers at the school meet the registration requirements of the Victorian Institute of Teaching (</w:t>
                                        </w:r>
                                        <w:hyperlink r:id="rId15" w:tgtFrame="_blank" w:history="1">
                                          <w:r w:rsidRPr="009D4C10">
                                            <w:rPr>
                                              <w:rStyle w:val="Hyperlink"/>
                                            </w:rPr>
                                            <w:t>www.vit.vic.edu.au</w:t>
                                          </w:r>
                                        </w:hyperlink>
                                        <w:r w:rsidRPr="009D4C10">
                                          <w:t>).</w:t>
                                        </w:r>
                                      </w:p>
                                      <w:p w:rsidR="006932E3" w:rsidRPr="009D4C10" w:rsidRDefault="00B5111D" w:rsidP="007C1665">
                                        <w:pPr>
                                          <w:numPr>
                                            <w:ilvl w:val="0"/>
                                            <w:numId w:val="25"/>
                                          </w:numPr>
                                          <w:spacing w:after="0" w:line="240" w:lineRule="auto"/>
                                          <w:ind w:left="301"/>
                                        </w:pPr>
                                        <w:r w:rsidRPr="009D4C10">
                                          <w:t xml:space="preserve">The school meets prescribed minimum standards for registration as regulated by the Victorian Regulation and Qualifications Authority (VRQA) in accordance with the Education and Training Reform (ETR) Act 2006. This includes schools granted an exemption by the VRQA until 31 December </w:t>
                                        </w:r>
                                        <w:r w:rsidRPr="00875D00">
                                          <w:rPr>
                                            <w:noProof/>
                                          </w:rPr>
                                          <w:t>2018</w:t>
                                        </w:r>
                                        <w:r w:rsidRPr="00875D00">
                                          <w:t xml:space="preserve"> from</w:t>
                                        </w:r>
                                        <w:r w:rsidRPr="009D4C10">
                                          <w:t xml:space="preserve"> the minimum standards for student enrolment numbers and/or curriculum framework for school language program.</w:t>
                                        </w:r>
                                      </w:p>
                                      <w:p w:rsidR="006932E3" w:rsidRDefault="00B5111D" w:rsidP="007C1665">
                                        <w:pPr>
                                          <w:numPr>
                                            <w:ilvl w:val="0"/>
                                            <w:numId w:val="25"/>
                                          </w:numPr>
                                          <w:spacing w:after="0" w:line="240" w:lineRule="auto"/>
                                          <w:ind w:left="301"/>
                                          <w:rPr>
                                            <w:color w:val="333333"/>
                                            <w:sz w:val="16"/>
                                            <w:szCs w:val="16"/>
                                          </w:rPr>
                                        </w:pPr>
                                        <w:r w:rsidRPr="009D4C10">
                                          <w:t>The school is compliant with the Child Safe Standards prescribed in Ministerial Order No. 870 – Child Safe Standards, Managing Risk of Child Abuse in School</w:t>
                                        </w:r>
                                      </w:p>
                                    </w:tc>
                                  </w:tr>
                                  <w:tr w:rsidR="003360A1" w:rsidTr="007C1665">
                                    <w:trPr>
                                      <w:trHeight w:val="48"/>
                                    </w:trPr>
                                    <w:tc>
                                      <w:tcPr>
                                        <w:tcW w:w="5356" w:type="dxa"/>
                                      </w:tcPr>
                                      <w:p w:rsidR="006932E3" w:rsidRDefault="00B5111D" w:rsidP="007C1665">
                                        <w:pPr>
                                          <w:shd w:val="clear" w:color="auto" w:fill="FFFFFF"/>
                                          <w:tabs>
                                            <w:tab w:val="num" w:pos="2880"/>
                                          </w:tabs>
                                          <w:spacing w:before="100" w:after="100" w:afterAutospacing="1"/>
                                          <w:ind w:left="-113"/>
                                          <w:rPr>
                                            <w:rFonts w:eastAsia="Arial"/>
                                            <w:color w:val="AF272F"/>
                                            <w:sz w:val="22"/>
                                            <w:szCs w:val="22"/>
                                          </w:rPr>
                                        </w:pPr>
                                        <w:r w:rsidRPr="004C76A5">
                                          <w:rPr>
                                            <w:rFonts w:eastAsia="Arial"/>
                                            <w:noProof/>
                                            <w:color w:val="AF272F"/>
                                          </w:rPr>
                                          <w:t>Attested on 20 March 2019 at 06:07 AM by Sarah Kohne (Principal)</w:t>
                                        </w:r>
                                      </w:p>
                                    </w:tc>
                                  </w:tr>
                                </w:tbl>
                                <w:p w:rsidR="006932E3" w:rsidRDefault="004872F1" w:rsidP="00177D7F"/>
                                <w:p w:rsidR="006932E3" w:rsidRDefault="004872F1" w:rsidP="00177D7F"/>
                                <w:tbl>
                                  <w:tblPr>
                                    <w:tblStyle w:val="TableGrid"/>
                                    <w:tblW w:w="0" w:type="auto"/>
                                    <w:tblInd w:w="-5" w:type="dxa"/>
                                    <w:tblBorders>
                                      <w:top w:val="dashed" w:sz="4" w:space="0" w:color="auto"/>
                                      <w:left w:val="dashed" w:sz="4" w:space="0" w:color="auto"/>
                                      <w:bottom w:val="dashed" w:sz="4" w:space="0" w:color="auto"/>
                                      <w:right w:val="dashed" w:sz="4" w:space="0" w:color="auto"/>
                                      <w:insideH w:val="none" w:sz="0" w:space="0" w:color="auto"/>
                                      <w:insideV w:val="none" w:sz="0" w:space="0" w:color="auto"/>
                                    </w:tblBorders>
                                    <w:tblCellMar>
                                      <w:top w:w="142" w:type="dxa"/>
                                      <w:left w:w="284" w:type="dxa"/>
                                      <w:bottom w:w="142" w:type="dxa"/>
                                      <w:right w:w="142" w:type="dxa"/>
                                    </w:tblCellMar>
                                    <w:tblLook w:val="04A0" w:firstRow="1" w:lastRow="0" w:firstColumn="1" w:lastColumn="0" w:noHBand="0" w:noVBand="1"/>
                                  </w:tblPr>
                                  <w:tblGrid>
                                    <w:gridCol w:w="5432"/>
                                  </w:tblGrid>
                                  <w:tr w:rsidR="003360A1" w:rsidTr="007C1665">
                                    <w:trPr>
                                      <w:trHeight w:val="112"/>
                                    </w:trPr>
                                    <w:tc>
                                      <w:tcPr>
                                        <w:tcW w:w="5432" w:type="dxa"/>
                                        <w:vAlign w:val="center"/>
                                      </w:tcPr>
                                      <w:p w:rsidR="006932E3" w:rsidRPr="009D4C10" w:rsidRDefault="00B5111D" w:rsidP="007C1665">
                                        <w:pPr>
                                          <w:numPr>
                                            <w:ilvl w:val="0"/>
                                            <w:numId w:val="26"/>
                                          </w:numPr>
                                          <w:spacing w:after="0" w:line="240" w:lineRule="auto"/>
                                          <w:ind w:left="301"/>
                                        </w:pPr>
                                        <w:r w:rsidRPr="009D4C10">
                                          <w:t>All teachers employed or engaged by the school council meet the registration requirements of the Victorian Institute of Teaching.</w:t>
                                        </w:r>
                                      </w:p>
                                      <w:p w:rsidR="006932E3" w:rsidRPr="009D4C10" w:rsidRDefault="00B5111D" w:rsidP="007C1665">
                                        <w:pPr>
                                          <w:numPr>
                                            <w:ilvl w:val="0"/>
                                            <w:numId w:val="26"/>
                                          </w:numPr>
                                          <w:spacing w:after="0" w:line="240" w:lineRule="auto"/>
                                          <w:ind w:left="301"/>
                                          <w:rPr>
                                            <w:color w:val="333333"/>
                                          </w:rPr>
                                        </w:pPr>
                                        <w:r w:rsidRPr="009D4C10">
                                          <w:rPr>
                                            <w:color w:val="333333"/>
                                          </w:rPr>
                                          <w:t xml:space="preserve">To the extent that the school council is responsible, the school meets prescribed minimum standards for registration as regulated by the Victorian Regulation and Qualifications Authority (VRQA) in accordance with the Education and Training Reform (ETR) Act 2006. This includes schools granted an exemption by the VRQA until 31 December </w:t>
                                        </w:r>
                                        <w:r w:rsidRPr="00875D00">
                                          <w:rPr>
                                            <w:noProof/>
                                          </w:rPr>
                                          <w:t>2018</w:t>
                                        </w:r>
                                        <w:r>
                                          <w:t xml:space="preserve"> </w:t>
                                        </w:r>
                                        <w:r w:rsidRPr="009D4C10">
                                          <w:rPr>
                                            <w:color w:val="333333"/>
                                          </w:rPr>
                                          <w:t>from the minimum standards for student enrolment numbers and/or curriculum framework for school language program.</w:t>
                                        </w:r>
                                      </w:p>
                                      <w:p w:rsidR="006932E3" w:rsidRDefault="00B5111D" w:rsidP="007C1665">
                                        <w:pPr>
                                          <w:numPr>
                                            <w:ilvl w:val="0"/>
                                            <w:numId w:val="26"/>
                                          </w:numPr>
                                          <w:spacing w:after="0" w:line="240" w:lineRule="auto"/>
                                          <w:ind w:left="301"/>
                                          <w:rPr>
                                            <w:color w:val="333333"/>
                                            <w:sz w:val="16"/>
                                            <w:szCs w:val="16"/>
                                          </w:rPr>
                                        </w:pPr>
                                        <w:r w:rsidRPr="009D4C10">
                                          <w:rPr>
                                            <w:color w:val="333333"/>
                                          </w:rPr>
                                          <w:t>To the extent that the school council is responsible, the school is compliant with the Child Safe Standards prescribed in Ministerial Order No. 870 – Child Safe Standards, Managing Risk of Child Abuse in School.</w:t>
                                        </w:r>
                                      </w:p>
                                    </w:tc>
                                  </w:tr>
                                  <w:tr w:rsidR="003360A1" w:rsidTr="007C1665">
                                    <w:trPr>
                                      <w:trHeight w:val="268"/>
                                    </w:trPr>
                                    <w:tc>
                                      <w:tcPr>
                                        <w:tcW w:w="5432" w:type="dxa"/>
                                      </w:tcPr>
                                      <w:p w:rsidR="006932E3" w:rsidRDefault="00B5111D" w:rsidP="007C1665">
                                        <w:pPr>
                                          <w:shd w:val="clear" w:color="auto" w:fill="FFFFFF"/>
                                          <w:tabs>
                                            <w:tab w:val="num" w:pos="2880"/>
                                          </w:tabs>
                                          <w:spacing w:before="100" w:after="100" w:afterAutospacing="1"/>
                                          <w:ind w:left="-113"/>
                                          <w:rPr>
                                            <w:rFonts w:eastAsia="Arial"/>
                                            <w:color w:val="AF272F"/>
                                            <w:sz w:val="22"/>
                                            <w:szCs w:val="22"/>
                                          </w:rPr>
                                        </w:pPr>
                                        <w:r w:rsidRPr="004C76A5">
                                          <w:rPr>
                                            <w:rFonts w:eastAsia="Arial"/>
                                            <w:noProof/>
                                            <w:color w:val="AF272F"/>
                                          </w:rPr>
                                          <w:t>To be attested by School Council President</w:t>
                                        </w:r>
                                      </w:p>
                                    </w:tc>
                                  </w:tr>
                                </w:tbl>
                                <w:p w:rsidR="006932E3" w:rsidRDefault="004872F1" w:rsidP="00177D7F"/>
                              </w:txbxContent>
                            </wps:txbx>
                            <wps:bodyPr rot="0" vert="horz" wrap="square" anchor="t" anchorCtr="0" upright="1"/>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3.7pt;margin-top:45.75pt;width:307.5pt;height:479.25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" filled="f" fillcolor="white [3201]" stroked="f" strokeweight=".5pt">
                      <v:textbox>
                        <w:txbxContent>
                          <w:tbl>
                            <w:tblPr>
                              <w:tblStyle w:val="TableGrid"/>
                              <w:tblW w:w="5356" w:type="dxa"/>
                              <w:tblInd w:w="-5" w:type="dxa"/>
                              <w:tblBorders>
                                <w:top w:val="dashed" w:sz="4" w:space="0" w:color="auto"/>
                                <w:left w:val="dashed" w:sz="4" w:space="0" w:color="auto"/>
                                <w:bottom w:val="dashed" w:sz="4" w:space="0" w:color="auto"/>
                                <w:right w:val="dashed" w:sz="4" w:space="0" w:color="auto"/>
                                <w:insideH w:val="none" w:sz="0" w:space="0" w:color="auto"/>
                                <w:insideV w:val="none" w:sz="0" w:space="0" w:color="auto"/>
                              </w:tblBorders>
                              <w:tblCellMar>
                                <w:top w:w="142" w:type="dxa"/>
                                <w:left w:w="284" w:type="dxa"/>
                                <w:bottom w:w="142" w:type="dxa"/>
                                <w:right w:w="142" w:type="dxa"/>
                              </w:tblCellMar>
                              <w:tblLook w:val="04A0" w:firstRow="1" w:lastRow="0" w:firstColumn="1" w:lastColumn="0" w:noHBand="0" w:noVBand="1"/>
                            </w:tblPr>
                            <w:tblGrid>
                              <w:gridCol w:w="5356"/>
                            </w:tblGrid>
                            <w:tr w:rsidR="003360A1" w:rsidTr="007C1665">
                              <w:trPr>
                                <w:trHeight w:val="18"/>
                              </w:trPr>
                              <w:tc>
                                <w:tcPr>
                                  <w:tcW w:w="5356" w:type="dxa"/>
                                  <w:vAlign w:val="center"/>
                                </w:tcPr>
                                <w:p w:rsidR="006932E3" w:rsidRPr="009D4C10" w:rsidRDefault="00B5111D" w:rsidP="007C1665">
                                  <w:pPr>
                                    <w:numPr>
                                      <w:ilvl w:val="0"/>
                                      <w:numId w:val="25"/>
                                    </w:numPr>
                                    <w:spacing w:after="0" w:line="240" w:lineRule="auto"/>
                                    <w:ind w:left="301"/>
                                  </w:pPr>
                                  <w:r w:rsidRPr="009D4C10">
                                    <w:t>All teachers at the school meet the registration requirements of the Victorian Institute of Teaching (</w:t>
                                  </w:r>
                                  <w:hyperlink r:id="rId16" w:tgtFrame="_blank" w:history="1">
                                    <w:r w:rsidRPr="009D4C10">
                                      <w:rPr>
                                        <w:rStyle w:val="Hyperlink"/>
                                      </w:rPr>
                                      <w:t>www.vit.vic.edu.au</w:t>
                                    </w:r>
                                  </w:hyperlink>
                                  <w:r w:rsidRPr="009D4C10">
                                    <w:t>).</w:t>
                                  </w:r>
                                </w:p>
                                <w:p w:rsidR="006932E3" w:rsidRPr="009D4C10" w:rsidRDefault="00B5111D" w:rsidP="007C1665">
                                  <w:pPr>
                                    <w:numPr>
                                      <w:ilvl w:val="0"/>
                                      <w:numId w:val="25"/>
                                    </w:numPr>
                                    <w:spacing w:after="0" w:line="240" w:lineRule="auto"/>
                                    <w:ind w:left="301"/>
                                  </w:pPr>
                                  <w:r w:rsidRPr="009D4C10">
                                    <w:t xml:space="preserve">The school meets prescribed minimum standards for registration as regulated by the Victorian Regulation and Qualifications Authority (VRQA) in accordance with the Education and Training Reform (ETR) Act 2006. This includes schools granted an exemption by the VRQA until 31 December </w:t>
                                  </w:r>
                                  <w:r w:rsidRPr="00875D00">
                                    <w:rPr>
                                      <w:noProof/>
                                    </w:rPr>
                                    <w:t>2018</w:t>
                                  </w:r>
                                  <w:r w:rsidRPr="00875D00">
                                    <w:t xml:space="preserve"> from</w:t>
                                  </w:r>
                                  <w:r w:rsidRPr="009D4C10">
                                    <w:t xml:space="preserve"> the minimum standards for student enrolment numbers and/or curriculum framework for school language program.</w:t>
                                  </w:r>
                                </w:p>
                                <w:p w:rsidR="006932E3" w:rsidRDefault="00B5111D" w:rsidP="007C1665">
                                  <w:pPr>
                                    <w:numPr>
                                      <w:ilvl w:val="0"/>
                                      <w:numId w:val="25"/>
                                    </w:numPr>
                                    <w:spacing w:after="0" w:line="240" w:lineRule="auto"/>
                                    <w:ind w:left="301"/>
                                    <w:rPr>
                                      <w:color w:val="333333"/>
                                      <w:sz w:val="16"/>
                                      <w:szCs w:val="16"/>
                                    </w:rPr>
                                  </w:pPr>
                                  <w:r w:rsidRPr="009D4C10">
                                    <w:t>The school is compliant with the Child Safe Standards prescribed in Ministerial Order No. 870 – Child Safe Standards, Managing Risk of Child Abuse in School</w:t>
                                  </w:r>
                                </w:p>
                              </w:tc>
                            </w:tr>
                            <w:tr w:rsidR="003360A1" w:rsidTr="007C1665">
                              <w:trPr>
                                <w:trHeight w:val="48"/>
                              </w:trPr>
                              <w:tc>
                                <w:tcPr>
                                  <w:tcW w:w="5356" w:type="dxa"/>
                                </w:tcPr>
                                <w:p w:rsidR="006932E3" w:rsidRDefault="00B5111D" w:rsidP="007C1665">
                                  <w:pPr>
                                    <w:shd w:val="clear" w:color="auto" w:fill="FFFFFF"/>
                                    <w:tabs>
                                      <w:tab w:val="num" w:pos="2880"/>
                                    </w:tabs>
                                    <w:spacing w:before="100" w:after="100" w:afterAutospacing="1"/>
                                    <w:ind w:left="-113"/>
                                    <w:rPr>
                                      <w:rFonts w:eastAsia="Arial"/>
                                      <w:color w:val="AF272F"/>
                                      <w:sz w:val="22"/>
                                      <w:szCs w:val="22"/>
                                    </w:rPr>
                                  </w:pPr>
                                  <w:r w:rsidRPr="004C76A5">
                                    <w:rPr>
                                      <w:rFonts w:eastAsia="Arial"/>
                                      <w:noProof/>
                                      <w:color w:val="AF272F"/>
                                    </w:rPr>
                                    <w:t>Attested on 20 March 2019 at 06:07 AM by Sarah Kohne (Principal)</w:t>
                                  </w:r>
                                </w:p>
                              </w:tc>
                            </w:tr>
                          </w:tbl>
                          <w:p w:rsidR="006932E3" w:rsidRDefault="004872F1" w:rsidP="00177D7F"/>
                          <w:p w:rsidR="006932E3" w:rsidRDefault="004872F1" w:rsidP="00177D7F"/>
                          <w:tbl>
                            <w:tblPr>
                              <w:tblStyle w:val="TableGrid"/>
                              <w:tblW w:w="0" w:type="auto"/>
                              <w:tblInd w:w="-5" w:type="dxa"/>
                              <w:tblBorders>
                                <w:top w:val="dashed" w:sz="4" w:space="0" w:color="auto"/>
                                <w:left w:val="dashed" w:sz="4" w:space="0" w:color="auto"/>
                                <w:bottom w:val="dashed" w:sz="4" w:space="0" w:color="auto"/>
                                <w:right w:val="dashed" w:sz="4" w:space="0" w:color="auto"/>
                                <w:insideH w:val="none" w:sz="0" w:space="0" w:color="auto"/>
                                <w:insideV w:val="none" w:sz="0" w:space="0" w:color="auto"/>
                              </w:tblBorders>
                              <w:tblCellMar>
                                <w:top w:w="142" w:type="dxa"/>
                                <w:left w:w="284" w:type="dxa"/>
                                <w:bottom w:w="142" w:type="dxa"/>
                                <w:right w:w="142" w:type="dxa"/>
                              </w:tblCellMar>
                              <w:tblLook w:val="04A0" w:firstRow="1" w:lastRow="0" w:firstColumn="1" w:lastColumn="0" w:noHBand="0" w:noVBand="1"/>
                            </w:tblPr>
                            <w:tblGrid>
                              <w:gridCol w:w="5432"/>
                            </w:tblGrid>
                            <w:tr w:rsidR="003360A1" w:rsidTr="007C1665">
                              <w:trPr>
                                <w:trHeight w:val="112"/>
                              </w:trPr>
                              <w:tc>
                                <w:tcPr>
                                  <w:tcW w:w="5432" w:type="dxa"/>
                                  <w:vAlign w:val="center"/>
                                </w:tcPr>
                                <w:p w:rsidR="006932E3" w:rsidRPr="009D4C10" w:rsidRDefault="00B5111D" w:rsidP="007C1665">
                                  <w:pPr>
                                    <w:numPr>
                                      <w:ilvl w:val="0"/>
                                      <w:numId w:val="26"/>
                                    </w:numPr>
                                    <w:spacing w:after="0" w:line="240" w:lineRule="auto"/>
                                    <w:ind w:left="301"/>
                                  </w:pPr>
                                  <w:r w:rsidRPr="009D4C10">
                                    <w:t>All teachers employed or engaged by the school council meet the registration requirements of the Victorian Institute of Teaching.</w:t>
                                  </w:r>
                                </w:p>
                                <w:p w:rsidR="006932E3" w:rsidRPr="009D4C10" w:rsidRDefault="00B5111D" w:rsidP="007C1665">
                                  <w:pPr>
                                    <w:numPr>
                                      <w:ilvl w:val="0"/>
                                      <w:numId w:val="26"/>
                                    </w:numPr>
                                    <w:spacing w:after="0" w:line="240" w:lineRule="auto"/>
                                    <w:ind w:left="301"/>
                                    <w:rPr>
                                      <w:color w:val="333333"/>
                                    </w:rPr>
                                  </w:pPr>
                                  <w:r w:rsidRPr="009D4C10">
                                    <w:rPr>
                                      <w:color w:val="333333"/>
                                    </w:rPr>
                                    <w:t xml:space="preserve">To the extent that the school council is responsible, the school meets prescribed minimum standards for registration as regulated by the Victorian Regulation and Qualifications Authority (VRQA) in accordance with the Education and Training Reform (ETR) Act 2006. This includes schools granted an exemption by the VRQA until 31 December </w:t>
                                  </w:r>
                                  <w:r w:rsidRPr="00875D00">
                                    <w:rPr>
                                      <w:noProof/>
                                    </w:rPr>
                                    <w:t>2018</w:t>
                                  </w:r>
                                  <w:r>
                                    <w:t xml:space="preserve"> </w:t>
                                  </w:r>
                                  <w:r w:rsidRPr="009D4C10">
                                    <w:rPr>
                                      <w:color w:val="333333"/>
                                    </w:rPr>
                                    <w:t>from the minimum standards for student enrolment numbers and/or curriculum framework for school language program.</w:t>
                                  </w:r>
                                </w:p>
                                <w:p w:rsidR="006932E3" w:rsidRDefault="00B5111D" w:rsidP="007C1665">
                                  <w:pPr>
                                    <w:numPr>
                                      <w:ilvl w:val="0"/>
                                      <w:numId w:val="26"/>
                                    </w:numPr>
                                    <w:spacing w:after="0" w:line="240" w:lineRule="auto"/>
                                    <w:ind w:left="301"/>
                                    <w:rPr>
                                      <w:color w:val="333333"/>
                                      <w:sz w:val="16"/>
                                      <w:szCs w:val="16"/>
                                    </w:rPr>
                                  </w:pPr>
                                  <w:r w:rsidRPr="009D4C10">
                                    <w:rPr>
                                      <w:color w:val="333333"/>
                                    </w:rPr>
                                    <w:t>To the extent that the school council is responsible, the school is compliant with the Child Safe Standards prescribed in Ministerial Order No. 870 – Child Safe Standards, Managing Risk of Child Abuse in School.</w:t>
                                  </w:r>
                                </w:p>
                              </w:tc>
                            </w:tr>
                            <w:tr w:rsidR="003360A1" w:rsidTr="007C1665">
                              <w:trPr>
                                <w:trHeight w:val="268"/>
                              </w:trPr>
                              <w:tc>
                                <w:tcPr>
                                  <w:tcW w:w="5432" w:type="dxa"/>
                                </w:tcPr>
                                <w:p w:rsidR="006932E3" w:rsidRDefault="00B5111D" w:rsidP="007C1665">
                                  <w:pPr>
                                    <w:shd w:val="clear" w:color="auto" w:fill="FFFFFF"/>
                                    <w:tabs>
                                      <w:tab w:val="num" w:pos="2880"/>
                                    </w:tabs>
                                    <w:spacing w:before="100" w:after="100" w:afterAutospacing="1"/>
                                    <w:ind w:left="-113"/>
                                    <w:rPr>
                                      <w:rFonts w:eastAsia="Arial"/>
                                      <w:color w:val="AF272F"/>
                                      <w:sz w:val="22"/>
                                      <w:szCs w:val="22"/>
                                    </w:rPr>
                                  </w:pPr>
                                  <w:r w:rsidRPr="004C76A5">
                                    <w:rPr>
                                      <w:rFonts w:eastAsia="Arial"/>
                                      <w:noProof/>
                                      <w:color w:val="AF272F"/>
                                    </w:rPr>
                                    <w:t>To be attested by School Council President</w:t>
                                  </w:r>
                                </w:p>
                              </w:tc>
                            </w:tr>
                          </w:tbl>
                          <w:p w:rsidR="006932E3" w:rsidRDefault="004872F1" w:rsidP="00177D7F"/>
                        </w:txbxContent>
                      </v:textbox>
                      <w10:wrap anchorx="margin"/>
                    </v:shape>
                  </w:pict>
                </mc:Fallback>
              </mc:AlternateContent>
            </w:r>
          </w:p>
        </w:tc>
      </w:tr>
    </w:tbl>
    <w:p w:rsidR="00BE480F" w:rsidRDefault="004872F1" w:rsidP="00AF1438">
      <w:pPr>
        <w:ind w:left="540" w:right="419"/>
        <w:rPr>
          <w:color w:val="595959" w:themeColor="text1" w:themeTint="A6"/>
        </w:rPr>
      </w:pPr>
    </w:p>
    <w:p w:rsidR="00481904" w:rsidRDefault="004872F1" w:rsidP="00BF76C7">
      <w:pPr>
        <w:pStyle w:val="ESHeading2"/>
        <w:jc w:val="center"/>
        <w:sectPr w:rsidR="00481904" w:rsidSect="00B402B7">
          <w:headerReference w:type="even" r:id="rId17"/>
          <w:headerReference w:type="default" r:id="rId18"/>
          <w:footerReference w:type="even" r:id="rId19"/>
          <w:footerReference w:type="default" r:id="rId20"/>
          <w:headerReference w:type="first" r:id="rId21"/>
          <w:pgSz w:w="11906" w:h="16838" w:code="9"/>
          <w:pgMar w:top="1005" w:right="737" w:bottom="1304" w:left="562" w:header="624" w:footer="1134" w:gutter="0"/>
          <w:cols w:space="397"/>
          <w:docGrid w:linePitch="360"/>
        </w:sectPr>
      </w:pPr>
    </w:p>
    <w:p w:rsidR="00BF76C7" w:rsidRPr="00242590" w:rsidRDefault="00B5111D" w:rsidP="00B42C9B">
      <w:pPr>
        <w:ind w:left="-540" w:right="-632"/>
        <w:jc w:val="center"/>
        <w:rPr>
          <w:b/>
          <w:color w:val="AF272F"/>
          <w:sz w:val="32"/>
          <w:szCs w:val="32"/>
        </w:rPr>
      </w:pPr>
      <w:r>
        <w:rPr>
          <w:b/>
          <w:color w:val="AF272F"/>
          <w:sz w:val="36"/>
          <w:szCs w:val="44"/>
        </w:rPr>
        <w:lastRenderedPageBreak/>
        <w:t>About Our School</w:t>
      </w:r>
    </w:p>
    <w:p w:rsidR="0038585D" w:rsidRPr="00864EAA" w:rsidRDefault="004872F1" w:rsidP="00A20DEB">
      <w:pPr>
        <w:pStyle w:val="ESIntroParagraph"/>
        <w:ind w:left="-567" w:right="1708" w:firstLine="27"/>
        <w:rPr>
          <w:color w:val="595959" w:themeColor="text1" w:themeTint="A6"/>
          <w:sz w:val="18"/>
          <w:szCs w:val="18"/>
        </w:rPr>
      </w:pPr>
    </w:p>
    <w:tbl>
      <w:tblPr>
        <w:tblStyle w:val="TableGrid"/>
        <w:tblW w:w="10226" w:type="dxa"/>
        <w:tblInd w:w="-450" w:type="dxa"/>
        <w:tblCellMar>
          <w:top w:w="115" w:type="dxa"/>
          <w:left w:w="115" w:type="dxa"/>
          <w:bottom w:w="115" w:type="dxa"/>
          <w:right w:w="115" w:type="dxa"/>
        </w:tblCellMar>
        <w:tblLook w:val="04A0" w:firstRow="1" w:lastRow="0" w:firstColumn="1" w:lastColumn="0" w:noHBand="0" w:noVBand="1"/>
      </w:tblPr>
      <w:tblGrid>
        <w:gridCol w:w="10226"/>
      </w:tblGrid>
      <w:tr w:rsidR="003360A1" w:rsidTr="00A02803">
        <w:trPr>
          <w:trHeight w:val="15"/>
        </w:trPr>
        <w:tc>
          <w:tcPr>
            <w:tcW w:w="10226" w:type="dxa"/>
            <w:shd w:val="clear" w:color="auto" w:fill="D9D9D9" w:themeFill="background1" w:themeFillShade="D9"/>
          </w:tcPr>
          <w:p w:rsidR="00777DB2" w:rsidRPr="001C2589" w:rsidRDefault="00B5111D" w:rsidP="00994A0F">
            <w:pPr>
              <w:pStyle w:val="Heading3"/>
              <w:spacing w:before="0" w:after="0"/>
              <w:rPr>
                <w:sz w:val="24"/>
                <w:szCs w:val="24"/>
              </w:rPr>
            </w:pPr>
            <w:r w:rsidRPr="005206F9">
              <w:rPr>
                <w:sz w:val="22"/>
                <w:szCs w:val="22"/>
              </w:rPr>
              <w:t xml:space="preserve">School </w:t>
            </w:r>
            <w:r>
              <w:rPr>
                <w:sz w:val="22"/>
                <w:szCs w:val="22"/>
              </w:rPr>
              <w:t>context</w:t>
            </w:r>
          </w:p>
        </w:tc>
      </w:tr>
      <w:tr w:rsidR="003360A1" w:rsidTr="00A02803">
        <w:trPr>
          <w:trHeight w:val="15"/>
        </w:trPr>
        <w:tc>
          <w:tcPr>
            <w:tcW w:w="10226" w:type="dxa"/>
            <w:shd w:val="clear" w:color="auto" w:fill="FFFFFF" w:themeFill="background1"/>
          </w:tcPr>
          <w:p w:rsidR="00777DB2" w:rsidRPr="005A75E6" w:rsidRDefault="00B5111D" w:rsidP="00994A0F">
            <w:pPr>
              <w:pStyle w:val="Heading3"/>
              <w:spacing w:before="0" w:after="0"/>
              <w:rPr>
                <w:b w:val="0"/>
                <w:szCs w:val="20"/>
              </w:rPr>
            </w:pPr>
            <w:r>
              <w:rPr>
                <w:b w:val="0"/>
              </w:rPr>
              <w:t xml:space="preserve">Our vision is to provide a community of learning which supports all members in a positive and safe environment. We see our school and community as a rural community with modern values and high aspirations for our students. At the end of their time at Osbornes Flat we aspire for our students to be highly literate and numerate individuals who can learn independently and having a life- long desire to learn beyond our school. Our students will be environmentally aware in a rural context and they will continue to be actively involved in their local and broader community. The schools values are Good manners, Friendliness, Courage, Persistence/ Resilience, Tolerance/ Acceptance, Compassion/ Empathy. OFPS had 5.4 equivalent full-time staff made up of 1 principal class, 6 teachers and 2 Education Support Staff. Osbornes Flat Primary School is a small rural school which values its family atmosphere.  Because of this, families have a strong commitment to the school and its operation.  </w:t>
            </w:r>
            <w:r>
              <w:rPr>
                <w:b w:val="0"/>
              </w:rPr>
              <w:br/>
              <w:t>We value the small classes and individual attention available to each student. Our geographic location is 28 minutes from Wodonga and 9km from Yackandandah. Our school is located in rural area, which supports us in our wish to be very active in environmental issues and education. We value our place in the community and work towards increasing our involvement in our local as well as wider community.</w:t>
            </w:r>
            <w:r>
              <w:rPr>
                <w:b w:val="0"/>
              </w:rPr>
              <w:br/>
              <w:t xml:space="preserve">In 2018 the school enrolment was 61 (25 female and 36 male.) 0 percent of students had English as an additional language and 0 percent were Aboriginal or Torres Strait Islander. The school’s socio-economic band was High. Students were divided into three classes - F-2, 3/4 and 5/6. We accessed the services of an art specialist from the Mobile Art and Craft Van one day a fortnight and a similar arrangement with the Mobile Area Resource Centre and its librarian. Our school also offered Italian classes, which were conducted weekly by a teacher who holds specialist qualifications in Italian. Private lessons were also offered in piano and guitar. Our school music program ran weekly in 2018.  </w:t>
            </w:r>
          </w:p>
        </w:tc>
      </w:tr>
      <w:tr w:rsidR="003360A1" w:rsidTr="00A02803">
        <w:trPr>
          <w:trHeight w:val="15"/>
        </w:trPr>
        <w:tc>
          <w:tcPr>
            <w:tcW w:w="10226" w:type="dxa"/>
            <w:shd w:val="clear" w:color="auto" w:fill="D9D9D9" w:themeFill="background1" w:themeFillShade="D9"/>
          </w:tcPr>
          <w:p w:rsidR="00777DB2" w:rsidRDefault="00B5111D" w:rsidP="00994A0F">
            <w:pPr>
              <w:pStyle w:val="Heading3"/>
              <w:spacing w:before="0" w:after="0"/>
              <w:rPr>
                <w:szCs w:val="20"/>
              </w:rPr>
            </w:pPr>
            <w:r w:rsidRPr="00D3162B">
              <w:rPr>
                <w:sz w:val="22"/>
                <w:szCs w:val="22"/>
              </w:rPr>
              <w:t>Framework for Improving Student Outcomes (FISO)</w:t>
            </w:r>
          </w:p>
        </w:tc>
      </w:tr>
      <w:tr w:rsidR="003360A1" w:rsidTr="00A02803">
        <w:trPr>
          <w:trHeight w:val="15"/>
        </w:trPr>
        <w:tc>
          <w:tcPr>
            <w:tcW w:w="10226" w:type="dxa"/>
            <w:shd w:val="clear" w:color="auto" w:fill="FFFFFF" w:themeFill="background1"/>
          </w:tcPr>
          <w:p w:rsidR="00777DB2" w:rsidRPr="005A75E6" w:rsidRDefault="00B5111D" w:rsidP="00994A0F">
            <w:pPr>
              <w:pStyle w:val="Heading3"/>
              <w:spacing w:before="0" w:after="0"/>
              <w:rPr>
                <w:b w:val="0"/>
                <w:szCs w:val="20"/>
              </w:rPr>
            </w:pPr>
            <w:r>
              <w:rPr>
                <w:b w:val="0"/>
              </w:rPr>
              <w:t xml:space="preserve">Building Practice Excellence in writing was the FISO dimension the was the focus during 2018.  </w:t>
            </w:r>
            <w:r>
              <w:rPr>
                <w:b w:val="0"/>
              </w:rPr>
              <w:br/>
              <w:t xml:space="preserve">The Key Improvement Strategies that were selected were: </w:t>
            </w:r>
            <w:r>
              <w:rPr>
                <w:b w:val="0"/>
              </w:rPr>
              <w:br/>
              <w:t>Developing an agreed and consistently implemented instructional model that catered for individual learning needs.</w:t>
            </w:r>
            <w:r>
              <w:rPr>
                <w:b w:val="0"/>
              </w:rPr>
              <w:br/>
              <w:t>Building teacher and student confidence in utilising a range of assessment strategies, both formative and summative to effectively plan for, and assess teaching and learning.</w:t>
            </w:r>
            <w:r>
              <w:rPr>
                <w:b w:val="0"/>
              </w:rPr>
              <w:br/>
              <w:t>Embedding an agreed guaranteed and viable curriculum that is consistently implemented.</w:t>
            </w:r>
            <w:r>
              <w:rPr>
                <w:b w:val="0"/>
              </w:rPr>
              <w:br/>
              <w:t xml:space="preserve">In the self assessment at the end of 2018 staff agreed we had moved to the Evolving level in 3 out of the 4 dimensions in Teaching and Learning. The only area that remained in the evolving section was 'Professional learning is collaborative, involving reflection and feedback.' </w:t>
            </w:r>
            <w:r>
              <w:rPr>
                <w:b w:val="0"/>
              </w:rPr>
              <w:br/>
              <w:t xml:space="preserve">By the end of 2018 the evidence of impact was: </w:t>
            </w:r>
            <w:r>
              <w:rPr>
                <w:b w:val="0"/>
              </w:rPr>
              <w:br/>
              <w:t xml:space="preserve">Teachers were able to demonstrate an understanding of the instructional model in writing and follow it consistently in their classroom. </w:t>
            </w:r>
            <w:r>
              <w:rPr>
                <w:b w:val="0"/>
              </w:rPr>
              <w:br/>
              <w:t xml:space="preserve">All teachers planned using a consistent weekly planning format across the school which evidenced consistent lesson structure and differentiated teaching. </w:t>
            </w:r>
            <w:r>
              <w:rPr>
                <w:b w:val="0"/>
              </w:rPr>
              <w:br/>
              <w:t>Teachers formed personalised student goals in writing and displayed these in their classrooms.</w:t>
            </w:r>
            <w:r>
              <w:rPr>
                <w:b w:val="0"/>
              </w:rPr>
              <w:br/>
              <w:t>Students showed  an increased motivation towards writing across the school.</w:t>
            </w:r>
            <w:r>
              <w:rPr>
                <w:b w:val="0"/>
              </w:rPr>
              <w:br/>
              <w:t xml:space="preserve">A lot of professional development occurred during 2018 to enable staff to have an in depth knowledge of the writing program the school had implemented. </w:t>
            </w:r>
            <w:r>
              <w:rPr>
                <w:b w:val="0"/>
              </w:rPr>
              <w:br/>
              <w:t xml:space="preserve">Teachers increased their knowledge of interpreting data over the year. By the end of 2018 teachers followed the same assessment schedule and entered their results on a centralised data tracking system. They used this data to track student progress and set up a data tracking wall to monitor student progress. </w:t>
            </w:r>
            <w:r>
              <w:rPr>
                <w:b w:val="0"/>
              </w:rPr>
              <w:br/>
              <w:t xml:space="preserve">Moderation of student writing samples occurred multiple times during 2018 which enabled staff to increase their understanding of the expectations at each year level.  </w:t>
            </w:r>
          </w:p>
        </w:tc>
      </w:tr>
      <w:tr w:rsidR="003360A1" w:rsidTr="00A02803">
        <w:trPr>
          <w:trHeight w:val="15"/>
        </w:trPr>
        <w:tc>
          <w:tcPr>
            <w:tcW w:w="10226" w:type="dxa"/>
            <w:shd w:val="clear" w:color="auto" w:fill="D9D9D9" w:themeFill="background1" w:themeFillShade="D9"/>
          </w:tcPr>
          <w:p w:rsidR="00777DB2" w:rsidRDefault="00B5111D" w:rsidP="00994A0F">
            <w:pPr>
              <w:pStyle w:val="Heading3"/>
              <w:spacing w:before="0" w:after="0"/>
              <w:rPr>
                <w:szCs w:val="20"/>
              </w:rPr>
            </w:pPr>
            <w:r w:rsidRPr="00D3162B">
              <w:rPr>
                <w:sz w:val="22"/>
                <w:szCs w:val="22"/>
              </w:rPr>
              <w:lastRenderedPageBreak/>
              <w:t>Achievement</w:t>
            </w:r>
          </w:p>
        </w:tc>
      </w:tr>
      <w:tr w:rsidR="003360A1" w:rsidTr="00A02803">
        <w:trPr>
          <w:trHeight w:val="15"/>
        </w:trPr>
        <w:tc>
          <w:tcPr>
            <w:tcW w:w="10226" w:type="dxa"/>
            <w:shd w:val="clear" w:color="auto" w:fill="FFFFFF" w:themeFill="background1"/>
          </w:tcPr>
          <w:p w:rsidR="00777DB2" w:rsidRPr="005A75E6" w:rsidRDefault="00B5111D" w:rsidP="00994A0F">
            <w:pPr>
              <w:pStyle w:val="Heading3"/>
              <w:spacing w:before="0" w:after="0"/>
              <w:rPr>
                <w:b w:val="0"/>
                <w:szCs w:val="20"/>
              </w:rPr>
            </w:pPr>
            <w:r>
              <w:rPr>
                <w:b w:val="0"/>
              </w:rPr>
              <w:t xml:space="preserve">The main focus for 2018 was to improve writing outcomes across the school. At the end of semester 2, 81% of students were working at or above their expected level in Reading and 69% were at or above the expected level in writing. NAPLAN indicated that 2/3 of our year 5 students had achieved medium growth in writing between year 3 and 5, and the other 1/3 had achieved low growth. Increasing the % of high growth between year 3 and 5 in writing will continue to be the focus moving into 2019. A large amount of the students in year F,1,5 and 6 made 12 months growth in writing over 2018, however year 2, 3 and 4 had a much lower amount of growth according to teacher judgements.    </w:t>
            </w:r>
            <w:r>
              <w:rPr>
                <w:b w:val="0"/>
              </w:rPr>
              <w:br/>
              <w:t xml:space="preserve">88.7% of students were placed at or above expected level in numeracy which is similar to the state average. The Year 5 cohort performed well in Reading with 83.3% of those students achieving in the top 3 bands in NAPLAN. A high % of low growth in grammar and punctuation (50%) demonstrtes a need to focus on this in 2019.   </w:t>
            </w:r>
            <w:r>
              <w:rPr>
                <w:b w:val="0"/>
              </w:rPr>
              <w:br/>
              <w:t xml:space="preserve">  </w:t>
            </w:r>
          </w:p>
        </w:tc>
      </w:tr>
      <w:tr w:rsidR="003360A1" w:rsidTr="00A02803">
        <w:trPr>
          <w:trHeight w:val="15"/>
        </w:trPr>
        <w:tc>
          <w:tcPr>
            <w:tcW w:w="10226" w:type="dxa"/>
            <w:shd w:val="clear" w:color="auto" w:fill="D9D9D9" w:themeFill="background1" w:themeFillShade="D9"/>
          </w:tcPr>
          <w:p w:rsidR="00777DB2" w:rsidRPr="00D3162B" w:rsidRDefault="00B5111D" w:rsidP="00994A0F">
            <w:pPr>
              <w:pStyle w:val="Heading3"/>
              <w:spacing w:before="0" w:after="0"/>
              <w:rPr>
                <w:sz w:val="22"/>
                <w:szCs w:val="22"/>
              </w:rPr>
            </w:pPr>
            <w:r w:rsidRPr="00D3162B">
              <w:rPr>
                <w:sz w:val="22"/>
                <w:szCs w:val="22"/>
              </w:rPr>
              <w:t>Engagement</w:t>
            </w:r>
          </w:p>
        </w:tc>
      </w:tr>
      <w:tr w:rsidR="003360A1" w:rsidTr="00A02803">
        <w:trPr>
          <w:trHeight w:val="15"/>
        </w:trPr>
        <w:tc>
          <w:tcPr>
            <w:tcW w:w="10226" w:type="dxa"/>
            <w:shd w:val="clear" w:color="auto" w:fill="FFFFFF" w:themeFill="background1"/>
          </w:tcPr>
          <w:p w:rsidR="00777DB2" w:rsidRPr="005A75E6" w:rsidRDefault="00B5111D" w:rsidP="00994A0F">
            <w:pPr>
              <w:pStyle w:val="Heading3"/>
              <w:spacing w:before="0" w:after="0"/>
              <w:rPr>
                <w:b w:val="0"/>
                <w:szCs w:val="20"/>
              </w:rPr>
            </w:pPr>
            <w:r>
              <w:rPr>
                <w:b w:val="0"/>
              </w:rPr>
              <w:t>The average number of days absent in 2018 was 12.5. This is similar to like schools and below the state average of 15.1.</w:t>
            </w:r>
            <w:r>
              <w:rPr>
                <w:b w:val="0"/>
              </w:rPr>
              <w:br/>
              <w:t xml:space="preserve">Attendance rates ranged from 91% to 97% in different year levels. The lowest attendance rate was in Year 3, and this was largely due to 2 students taking an extended family holiday.  </w:t>
            </w:r>
            <w:r>
              <w:rPr>
                <w:b w:val="0"/>
              </w:rPr>
              <w:br/>
              <w:t xml:space="preserve">The school managed non attendance by requiring all parents to notify the school via phone, email or hand written note with a reason to explain their child's absence. If a child was away and there had been no notification about a reason, the classroom teacher or business manager would phone the family to discuss the reason for the absence and when they would be returning. </w:t>
            </w:r>
          </w:p>
        </w:tc>
      </w:tr>
      <w:tr w:rsidR="003360A1" w:rsidTr="00A02803">
        <w:trPr>
          <w:trHeight w:val="15"/>
        </w:trPr>
        <w:tc>
          <w:tcPr>
            <w:tcW w:w="10226" w:type="dxa"/>
            <w:shd w:val="clear" w:color="auto" w:fill="D9D9D9" w:themeFill="background1" w:themeFillShade="D9"/>
          </w:tcPr>
          <w:p w:rsidR="00777DB2" w:rsidRPr="00D3162B" w:rsidRDefault="00B5111D" w:rsidP="00994A0F">
            <w:pPr>
              <w:pStyle w:val="Heading3"/>
              <w:spacing w:before="0" w:after="0"/>
              <w:rPr>
                <w:sz w:val="22"/>
                <w:szCs w:val="22"/>
              </w:rPr>
            </w:pPr>
            <w:r w:rsidRPr="00F40AEE">
              <w:rPr>
                <w:sz w:val="22"/>
                <w:szCs w:val="22"/>
              </w:rPr>
              <w:t>Wellbeing</w:t>
            </w:r>
          </w:p>
        </w:tc>
      </w:tr>
      <w:tr w:rsidR="003360A1" w:rsidTr="00A02803">
        <w:trPr>
          <w:trHeight w:val="15"/>
        </w:trPr>
        <w:tc>
          <w:tcPr>
            <w:tcW w:w="10226" w:type="dxa"/>
            <w:shd w:val="clear" w:color="auto" w:fill="FFFFFF" w:themeFill="background1"/>
          </w:tcPr>
          <w:p w:rsidR="00777DB2" w:rsidRPr="007C43EB" w:rsidRDefault="00B5111D" w:rsidP="00994A0F">
            <w:pPr>
              <w:pStyle w:val="Heading3"/>
              <w:spacing w:before="0" w:after="0"/>
              <w:rPr>
                <w:b w:val="0"/>
                <w:szCs w:val="20"/>
              </w:rPr>
            </w:pPr>
            <w:r>
              <w:rPr>
                <w:b w:val="0"/>
              </w:rPr>
              <w:t xml:space="preserve">The students showed a high amount of engagement in their learning in 2018. The attitudes to school survey showed that: </w:t>
            </w:r>
            <w:r>
              <w:rPr>
                <w:b w:val="0"/>
              </w:rPr>
              <w:br/>
              <w:t>84% of students responded positively to a sense of connectedness in the school.</w:t>
            </w:r>
            <w:r>
              <w:rPr>
                <w:b w:val="0"/>
              </w:rPr>
              <w:br/>
              <w:t>92% of students responded positively to a feeling sense of inclusion.</w:t>
            </w:r>
            <w:r>
              <w:rPr>
                <w:b w:val="0"/>
              </w:rPr>
              <w:br/>
              <w:t>89% of students responded positively to accessing stimulating learning in their classroom.</w:t>
            </w:r>
            <w:r>
              <w:rPr>
                <w:b w:val="0"/>
              </w:rPr>
              <w:br/>
              <w:t>There was a less positive response (75%) to student voice and agency within the school. This will be an engagement goal moving forward.</w:t>
            </w:r>
            <w:r>
              <w:rPr>
                <w:b w:val="0"/>
              </w:rPr>
              <w:br/>
              <w:t>Management of bullying within the school was seen positively by 88.1% of students which was above the state average of 81.2%</w:t>
            </w:r>
            <w:r>
              <w:rPr>
                <w:b w:val="0"/>
              </w:rPr>
              <w:br/>
            </w:r>
          </w:p>
        </w:tc>
      </w:tr>
      <w:tr w:rsidR="003360A1" w:rsidTr="00A02803">
        <w:trPr>
          <w:trHeight w:val="15"/>
        </w:trPr>
        <w:tc>
          <w:tcPr>
            <w:tcW w:w="10226" w:type="dxa"/>
            <w:shd w:val="clear" w:color="auto" w:fill="D9D9D9" w:themeFill="background1" w:themeFillShade="D9"/>
          </w:tcPr>
          <w:p w:rsidR="00777DB2" w:rsidRPr="00D3162B" w:rsidRDefault="00B5111D" w:rsidP="00994A0F">
            <w:pPr>
              <w:pStyle w:val="Heading3"/>
              <w:spacing w:before="0" w:after="0"/>
              <w:rPr>
                <w:sz w:val="22"/>
                <w:szCs w:val="22"/>
              </w:rPr>
            </w:pPr>
            <w:r w:rsidRPr="00F40AEE">
              <w:rPr>
                <w:sz w:val="22"/>
                <w:szCs w:val="22"/>
              </w:rPr>
              <w:t>Financial performance and position</w:t>
            </w:r>
          </w:p>
        </w:tc>
      </w:tr>
      <w:tr w:rsidR="003360A1" w:rsidTr="00A02803">
        <w:trPr>
          <w:trHeight w:val="15"/>
        </w:trPr>
        <w:tc>
          <w:tcPr>
            <w:tcW w:w="10226" w:type="dxa"/>
            <w:shd w:val="clear" w:color="auto" w:fill="FFFFFF" w:themeFill="background1"/>
          </w:tcPr>
          <w:p w:rsidR="00777DB2" w:rsidRPr="005A75E6" w:rsidRDefault="00B5111D" w:rsidP="00994A0F">
            <w:pPr>
              <w:pStyle w:val="Heading3"/>
              <w:spacing w:before="0" w:after="0"/>
              <w:rPr>
                <w:b w:val="0"/>
                <w:szCs w:val="20"/>
              </w:rPr>
            </w:pPr>
            <w:r>
              <w:rPr>
                <w:b w:val="0"/>
              </w:rPr>
              <w:t xml:space="preserve">Our overall profit was mainly due to excess revenue not accounted for in the budget at the start of the year: Receipt of BARR vegetation allowance, revenue in advance from parents, more raised in fundraising than budgeted and profit from the school musical. </w:t>
            </w:r>
            <w:r>
              <w:rPr>
                <w:b w:val="0"/>
              </w:rPr>
              <w:br/>
              <w:t xml:space="preserve">Extraordinary revenue or expenditure items: CRT and Professional development budgets were more than budgeted but this was largely due to BASTOW courses that occurred over the year as well as additional staff professional development that wasn't originally budgeted for. </w:t>
            </w:r>
            <w:r>
              <w:rPr>
                <w:b w:val="0"/>
              </w:rPr>
              <w:br/>
              <w:t>Furniture and fittings expenditure was more than budgeted for as we received equipment boost funding and a grant from Charles Sturt University for teaching group tables.</w:t>
            </w:r>
            <w:r>
              <w:rPr>
                <w:b w:val="0"/>
              </w:rPr>
              <w:br/>
              <w:t>Sources of funding received: Inclusion and equipment boost funding, small schools attendance funding, sporting schools funding (2 grants), BARR vegetation funding, Baked potato stall, Wood raffle</w:t>
            </w:r>
            <w:r>
              <w:rPr>
                <w:b w:val="0"/>
              </w:rPr>
              <w:br/>
              <w:t>Sources of funding the school received beyond the SRP:</w:t>
            </w:r>
            <w:r>
              <w:rPr>
                <w:b w:val="0"/>
              </w:rPr>
              <w:br/>
              <w:t xml:space="preserve">Inclusion and equipment boost funding: This enabled the school to develop a school wide inclusion policy, as well as all staff undertaking training in disability standards. The school used the equipment boost funding to purchase an interactive television to enable greater engagement in learning for all students as well as movable </w:t>
            </w:r>
            <w:r>
              <w:rPr>
                <w:b w:val="0"/>
              </w:rPr>
              <w:lastRenderedPageBreak/>
              <w:t xml:space="preserve">stools to allow students to have some movement during their learning tasks. Equity funding was primarily used to fund professional development for staff which in turn saw improvements in the teaching of writing across the school.  </w:t>
            </w:r>
          </w:p>
        </w:tc>
      </w:tr>
    </w:tbl>
    <w:p w:rsidR="005E684F" w:rsidRPr="00FA10DB" w:rsidRDefault="004872F1" w:rsidP="00F73E5D">
      <w:pPr>
        <w:ind w:right="-632"/>
        <w:rPr>
          <w:b/>
          <w:color w:val="AF272F"/>
          <w:sz w:val="36"/>
          <w:szCs w:val="44"/>
        </w:rPr>
        <w:sectPr w:rsidR="005E684F" w:rsidRPr="00FA10DB" w:rsidSect="005D3640">
          <w:headerReference w:type="even" r:id="rId22"/>
          <w:headerReference w:type="default" r:id="rId23"/>
          <w:footerReference w:type="default" r:id="rId24"/>
          <w:headerReference w:type="first" r:id="rId25"/>
          <w:pgSz w:w="11906" w:h="16838" w:code="9"/>
          <w:pgMar w:top="2036" w:right="1240" w:bottom="1304" w:left="1304" w:header="624" w:footer="532" w:gutter="0"/>
          <w:cols w:space="397"/>
          <w:docGrid w:linePitch="360"/>
        </w:sectPr>
      </w:pPr>
    </w:p>
    <w:p w:rsidR="002A03C0" w:rsidRDefault="00B5111D">
      <w:pPr>
        <w:pStyle w:val="ESHeading1"/>
        <w:jc w:val="center"/>
        <w:rPr>
          <w:color w:val="auto"/>
        </w:rPr>
      </w:pPr>
      <w:r>
        <w:rPr>
          <w:color w:val="auto"/>
        </w:rPr>
        <w:lastRenderedPageBreak/>
        <w:t>Performance Summary</w:t>
      </w:r>
    </w:p>
    <w:p w:rsidR="002A03C0" w:rsidRDefault="00B5111D">
      <w:pPr>
        <w:pStyle w:val="ESBodyText"/>
      </w:pPr>
      <w:r>
        <w:t>The Government School Performance Summary provides an overview of how this school is contributing to the objectives of the Education State and how it compares to other Victorian Government schools.</w:t>
      </w:r>
    </w:p>
    <w:p w:rsidR="002A03C0" w:rsidRDefault="00B5111D">
      <w:pPr>
        <w:pStyle w:val="ESBodyText"/>
      </w:pPr>
      <w:r>
        <w:t>All schools work in partnership with their school community to improve outcomes for children and young people.  Sharing this information with parents and the wider school community helps to support community engagement in student learning, a key priority of the Framework for Improving Student Outcomes.</w:t>
      </w:r>
    </w:p>
    <w:p w:rsidR="002A03C0" w:rsidRDefault="00B5111D">
      <w:pPr>
        <w:pStyle w:val="ESBodyText"/>
      </w:pPr>
      <w:r>
        <w:t>Refer to the ‘How to read the Annual Report’ section for help on how to interpret this report.</w:t>
      </w:r>
    </w:p>
    <w:p w:rsidR="002A03C0" w:rsidRDefault="00B5111D">
      <w:pPr>
        <w:pStyle w:val="ESHeading2"/>
        <w:rPr>
          <w:color w:val="00008B"/>
          <w:u w:val="single"/>
        </w:rPr>
      </w:pPr>
      <w:r>
        <w:rPr>
          <w:color w:val="00008B"/>
          <w:u w:val="single"/>
        </w:rPr>
        <w:t>School profile</w:t>
      </w:r>
    </w:p>
    <w:p w:rsidR="002A03C0" w:rsidRDefault="00B5111D">
      <w:pPr>
        <w:pStyle w:val="ESBodyText"/>
        <w:ind w:left="709" w:hanging="709"/>
        <w:rPr>
          <w:b/>
          <w:i/>
        </w:rPr>
      </w:pPr>
      <w:r>
        <w:rPr>
          <w:b/>
          <w:i/>
        </w:rPr>
        <w:t>Key:</w:t>
      </w:r>
      <w:r>
        <w:rPr>
          <w:b/>
          <w:i/>
        </w:rPr>
        <w:tab/>
        <w:t>“Middle 60 percent low” to “middle 60 percent high” is the range of results for the middle 60 percent of Victorian Government primary school type.</w:t>
      </w:r>
    </w:p>
    <w:p w:rsidR="002A03C0" w:rsidRDefault="00B5111D">
      <w:pPr>
        <w:pStyle w:val="ESImageorGraphTitle"/>
        <w:rPr>
          <w:color w:val="00008B"/>
        </w:rPr>
      </w:pPr>
      <w:r>
        <w:rPr>
          <w:color w:val="00008B"/>
        </w:rPr>
        <w:t>Enrolment Profile</w:t>
      </w:r>
    </w:p>
    <w:p w:rsidR="002A03C0" w:rsidRDefault="00B5111D">
      <w:pPr>
        <w:pStyle w:val="ESBodyText"/>
      </w:pPr>
      <w:r>
        <w:t>A total of   61 students were enrolled at this school in 2018,   25 female and   36 male.</w:t>
      </w:r>
    </w:p>
    <w:p w:rsidR="002A03C0" w:rsidRDefault="00B5111D">
      <w:pPr>
        <w:pStyle w:val="ESBodyText"/>
      </w:pPr>
      <w:r>
        <w:t>0 percent of students had English as an additional language and 0 percent were Aboriginal or Torres Strait Islander.</w:t>
      </w:r>
    </w:p>
    <w:p w:rsidR="002A03C0" w:rsidRDefault="004872F1">
      <w:pPr>
        <w:pStyle w:val="ESBodyText"/>
        <w:rPr>
          <w:color w:val="00008B"/>
        </w:rPr>
      </w:pPr>
    </w:p>
    <w:p w:rsidR="002A03C0" w:rsidRDefault="00B5111D">
      <w:pPr>
        <w:pStyle w:val="ESBodyText"/>
        <w:rPr>
          <w:rFonts w:eastAsiaTheme="majorEastAsia" w:cstheme="majorBidi"/>
          <w:b/>
          <w:bCs/>
          <w:color w:val="00008B"/>
          <w:szCs w:val="20"/>
        </w:rPr>
      </w:pPr>
      <w:r>
        <w:rPr>
          <w:rFonts w:eastAsiaTheme="majorEastAsia" w:cstheme="majorBidi"/>
          <w:b/>
          <w:bCs/>
          <w:color w:val="00008B"/>
          <w:szCs w:val="20"/>
        </w:rPr>
        <w:t>Overall Socio-Economic Profile</w:t>
      </w:r>
    </w:p>
    <w:p w:rsidR="002A03C0" w:rsidRDefault="00B5111D">
      <w:pPr>
        <w:pStyle w:val="ESBodyText"/>
      </w:pPr>
      <w:r>
        <w:t>The overall school’s socio-economic profile is based on the school's Student Family Occupation and Education index (SFOE) which takes into account parents' occupations and education.</w:t>
      </w:r>
    </w:p>
    <w:p w:rsidR="002A03C0" w:rsidRDefault="00B5111D">
      <w:pPr>
        <w:pStyle w:val="ESBodyText"/>
      </w:pPr>
      <w:r>
        <w:t>Possible socio-economic band values are: Low, Low-Medium, Medium and High.</w:t>
      </w:r>
    </w:p>
    <w:p w:rsidR="002A03C0" w:rsidRDefault="00B5111D">
      <w:pPr>
        <w:pStyle w:val="ESBodyText"/>
      </w:pPr>
      <w:r>
        <w:t>This school’s socio-economic band value is: High</w:t>
      </w:r>
    </w:p>
    <w:p w:rsidR="002A03C0" w:rsidRDefault="004872F1">
      <w:pPr>
        <w:pStyle w:val="ESBodyText"/>
      </w:pPr>
    </w:p>
    <w:p w:rsidR="002A03C0" w:rsidRDefault="00B5111D">
      <w:pPr>
        <w:pStyle w:val="ESBodyText"/>
        <w:rPr>
          <w:rFonts w:eastAsiaTheme="majorEastAsia" w:cstheme="majorBidi"/>
          <w:b/>
          <w:bCs/>
          <w:color w:val="00008B"/>
          <w:szCs w:val="20"/>
        </w:rPr>
      </w:pPr>
      <w:r>
        <w:rPr>
          <w:rFonts w:eastAsiaTheme="majorEastAsia" w:cstheme="majorBidi"/>
          <w:b/>
          <w:bCs/>
          <w:color w:val="00008B"/>
          <w:szCs w:val="20"/>
        </w:rPr>
        <w:t>Parent Satisfaction Summary</w:t>
      </w:r>
    </w:p>
    <w:p w:rsidR="002A03C0" w:rsidRDefault="00B5111D">
      <w:pPr>
        <w:rPr>
          <w:rFonts w:eastAsia="MS Mincho"/>
        </w:rPr>
      </w:pPr>
      <w:r>
        <w:rPr>
          <w:rFonts w:eastAsia="MS Mincho"/>
        </w:rPr>
        <w:t>The percent endorsement by parents on their school satisfaction level as reported in the annual Parent Opinion Survey.</w:t>
      </w:r>
    </w:p>
    <w:p w:rsidR="002A03C0" w:rsidRDefault="00B5111D">
      <w:pPr>
        <w:spacing w:after="240"/>
      </w:pPr>
      <w:r>
        <w:rPr>
          <w:rFonts w:eastAsia="MS Mincho"/>
        </w:rPr>
        <w:t>Percent endorsement indicates the percent of positive responses (agree or strongly agree) from parents who responded to the survey.</w:t>
      </w:r>
    </w:p>
    <w:tbl>
      <w:tblPr>
        <w:tblStyle w:val="GridTable2-Accent61"/>
        <w:tblW w:w="4853" w:type="pct"/>
        <w:jc w:val="center"/>
        <w:tblLook w:val="04A0" w:firstRow="1" w:lastRow="0" w:firstColumn="1" w:lastColumn="0" w:noHBand="0" w:noVBand="1"/>
        <w:tblCaption w:val="Parent Opinion survey results"/>
      </w:tblPr>
      <w:tblGrid>
        <w:gridCol w:w="4107"/>
        <w:gridCol w:w="1586"/>
        <w:gridCol w:w="1586"/>
        <w:gridCol w:w="1586"/>
        <w:gridCol w:w="1584"/>
      </w:tblGrid>
      <w:tr w:rsidR="003360A1" w:rsidTr="003360A1">
        <w:trPr>
          <w:cnfStyle w:val="100000000000" w:firstRow="1" w:lastRow="0" w:firstColumn="0" w:lastColumn="0" w:oddVBand="0" w:evenVBand="0" w:oddHBand="0" w:evenHBand="0" w:firstRowFirstColumn="0" w:firstRowLastColumn="0" w:lastRowFirstColumn="0" w:lastRowLastColumn="0"/>
          <w:trHeight w:val="445"/>
          <w:tblHeader/>
          <w:jc w:val="center"/>
        </w:trPr>
        <w:tc>
          <w:tcPr>
            <w:cnfStyle w:val="001000000000" w:firstRow="0" w:lastRow="0" w:firstColumn="1" w:lastColumn="0" w:oddVBand="0" w:evenVBand="0" w:oddHBand="0" w:evenHBand="0" w:firstRowFirstColumn="0" w:firstRowLastColumn="0" w:lastRowFirstColumn="0" w:lastRowLastColumn="0"/>
            <w:tcW w:w="1965" w:type="pct"/>
            <w:tcBorders>
              <w:bottom w:val="single" w:sz="12" w:space="0" w:color="FFFFFF"/>
            </w:tcBorders>
            <w:shd w:val="clear" w:color="auto" w:fill="106CB5"/>
            <w:vAlign w:val="center"/>
            <w:hideMark/>
          </w:tcPr>
          <w:p w:rsidR="002A03C0" w:rsidRDefault="00B5111D">
            <w:pPr>
              <w:spacing w:before="40" w:after="40" w:line="240" w:lineRule="auto"/>
              <w:rPr>
                <w:rFonts w:cs="Times New Roman"/>
                <w:color w:val="FFFFFF"/>
                <w:szCs w:val="22"/>
              </w:rPr>
            </w:pPr>
            <w:bookmarkStart w:id="1" w:name="Table_1"/>
            <w:r>
              <w:rPr>
                <w:rFonts w:cs="Times New Roman"/>
                <w:color w:val="FFFFFF"/>
                <w:szCs w:val="22"/>
              </w:rPr>
              <w:t>Parent Satisfaction</w:t>
            </w:r>
          </w:p>
        </w:tc>
        <w:tc>
          <w:tcPr>
            <w:tcW w:w="759"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School</w:t>
            </w:r>
          </w:p>
        </w:tc>
        <w:tc>
          <w:tcPr>
            <w:tcW w:w="759"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State Median</w:t>
            </w:r>
          </w:p>
        </w:tc>
        <w:tc>
          <w:tcPr>
            <w:tcW w:w="759" w:type="pct"/>
            <w:tcBorders>
              <w:bottom w:val="single" w:sz="12" w:space="0" w:color="FFFFFF"/>
            </w:tcBorders>
            <w:shd w:val="clear" w:color="auto" w:fill="106CB5"/>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Middle 60 percent low</w:t>
            </w:r>
          </w:p>
        </w:tc>
        <w:tc>
          <w:tcPr>
            <w:tcW w:w="759"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Middle 60 percent high</w:t>
            </w:r>
          </w:p>
        </w:tc>
      </w:tr>
      <w:tr w:rsidR="003360A1" w:rsidTr="003360A1">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965" w:type="pct"/>
            <w:tcBorders>
              <w:top w:val="single" w:sz="12" w:space="0" w:color="FFFFFF"/>
              <w:bottom w:val="single" w:sz="2" w:space="0" w:color="106CB5"/>
            </w:tcBorders>
            <w:shd w:val="clear" w:color="auto" w:fill="FFFFFF"/>
            <w:noWrap/>
            <w:vAlign w:val="center"/>
          </w:tcPr>
          <w:p w:rsidR="002A03C0" w:rsidRDefault="004872F1">
            <w:pPr>
              <w:spacing w:before="40" w:after="40" w:line="240" w:lineRule="auto"/>
              <w:rPr>
                <w:rFonts w:cs="Times New Roman"/>
                <w:szCs w:val="22"/>
              </w:rPr>
            </w:pPr>
          </w:p>
        </w:tc>
        <w:tc>
          <w:tcPr>
            <w:tcW w:w="759"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759" w:type="pct"/>
            <w:tcBorders>
              <w:top w:val="single" w:sz="12" w:space="0" w:color="FFFFFF"/>
              <w:bottom w:val="single" w:sz="2" w:space="0" w:color="106CB5"/>
            </w:tcBorders>
            <w:shd w:val="clear" w:color="auto" w:fill="FFFFFF"/>
            <w:noWrap/>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759" w:type="pct"/>
            <w:tcBorders>
              <w:top w:val="single" w:sz="12" w:space="0" w:color="FFFFFF"/>
              <w:bottom w:val="single" w:sz="2" w:space="0" w:color="106CB5"/>
            </w:tcBorders>
            <w:shd w:val="clear" w:color="auto" w:fill="FFFFFF"/>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759"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r>
      <w:tr w:rsidR="003360A1" w:rsidTr="003360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65" w:type="pct"/>
            <w:tcBorders>
              <w:top w:val="single" w:sz="2" w:space="0" w:color="106CB5"/>
              <w:bottom w:val="single" w:sz="2" w:space="0" w:color="106CB5"/>
            </w:tcBorders>
            <w:shd w:val="clear" w:color="auto" w:fill="D9D9D9"/>
            <w:noWrap/>
            <w:vAlign w:val="center"/>
            <w:hideMark/>
          </w:tcPr>
          <w:p w:rsidR="002A03C0" w:rsidRDefault="00B5111D">
            <w:pPr>
              <w:spacing w:before="40" w:after="40" w:line="240" w:lineRule="auto"/>
              <w:rPr>
                <w:rFonts w:cs="Times New Roman"/>
                <w:szCs w:val="22"/>
              </w:rPr>
            </w:pPr>
            <w:r>
              <w:rPr>
                <w:rFonts w:cs="Times New Roman"/>
                <w:szCs w:val="22"/>
                <w:lang w:val="en-US"/>
              </w:rPr>
              <w:t>Percent endorsement (latest year)</w:t>
            </w:r>
          </w:p>
        </w:tc>
        <w:tc>
          <w:tcPr>
            <w:tcW w:w="759" w:type="pct"/>
            <w:tcBorders>
              <w:top w:val="single" w:sz="2" w:space="0" w:color="106CB5"/>
              <w:bottom w:val="single" w:sz="2" w:space="0" w:color="106CB5"/>
            </w:tcBorders>
            <w:shd w:val="clear" w:color="auto" w:fill="D9D9D9"/>
            <w:noWrap/>
            <w:vAlign w:val="center"/>
          </w:tcPr>
          <w:p w:rsidR="002A03C0" w:rsidRDefault="00B5111D" w:rsidP="000573C0">
            <w:pPr>
              <w:jc w:val="right"/>
              <w:cnfStyle w:val="000000100000" w:firstRow="0" w:lastRow="0" w:firstColumn="0" w:lastColumn="0" w:oddVBand="0" w:evenVBand="0" w:oddHBand="1" w:evenHBand="0" w:firstRowFirstColumn="0" w:firstRowLastColumn="0" w:lastRowFirstColumn="0" w:lastRowLastColumn="0"/>
            </w:pPr>
            <w:r>
              <w:t xml:space="preserve"> 64.4</w:t>
            </w:r>
          </w:p>
        </w:tc>
        <w:tc>
          <w:tcPr>
            <w:tcW w:w="759" w:type="pct"/>
            <w:tcBorders>
              <w:top w:val="single" w:sz="2" w:space="0" w:color="106CB5"/>
              <w:bottom w:val="single" w:sz="2" w:space="0" w:color="106CB5"/>
            </w:tcBorders>
            <w:shd w:val="clear" w:color="auto" w:fill="D9D9D9"/>
            <w:noWrap/>
            <w:vAlign w:val="center"/>
          </w:tcPr>
          <w:p w:rsidR="002A03C0" w:rsidRDefault="00B5111D" w:rsidP="000573C0">
            <w:pPr>
              <w:jc w:val="right"/>
              <w:cnfStyle w:val="000000100000" w:firstRow="0" w:lastRow="0" w:firstColumn="0" w:lastColumn="0" w:oddVBand="0" w:evenVBand="0" w:oddHBand="1" w:evenHBand="0" w:firstRowFirstColumn="0" w:firstRowLastColumn="0" w:lastRowFirstColumn="0" w:lastRowLastColumn="0"/>
            </w:pPr>
            <w:r>
              <w:t xml:space="preserve"> 85.1</w:t>
            </w:r>
          </w:p>
        </w:tc>
        <w:tc>
          <w:tcPr>
            <w:tcW w:w="759" w:type="pct"/>
            <w:tcBorders>
              <w:top w:val="single" w:sz="2" w:space="0" w:color="106CB5"/>
              <w:bottom w:val="single" w:sz="2" w:space="0" w:color="106CB5"/>
            </w:tcBorders>
            <w:shd w:val="clear" w:color="auto" w:fill="D9D9D9"/>
            <w:vAlign w:val="center"/>
          </w:tcPr>
          <w:p w:rsidR="002A03C0" w:rsidRDefault="00B5111D" w:rsidP="000573C0">
            <w:pPr>
              <w:jc w:val="right"/>
              <w:cnfStyle w:val="000000100000" w:firstRow="0" w:lastRow="0" w:firstColumn="0" w:lastColumn="0" w:oddVBand="0" w:evenVBand="0" w:oddHBand="1" w:evenHBand="0" w:firstRowFirstColumn="0" w:firstRowLastColumn="0" w:lastRowFirstColumn="0" w:lastRowLastColumn="0"/>
            </w:pPr>
            <w:r>
              <w:t xml:space="preserve"> 78.3</w:t>
            </w:r>
          </w:p>
        </w:tc>
        <w:tc>
          <w:tcPr>
            <w:tcW w:w="759" w:type="pct"/>
            <w:tcBorders>
              <w:top w:val="single" w:sz="2" w:space="0" w:color="106CB5"/>
              <w:bottom w:val="single" w:sz="2" w:space="0" w:color="106CB5"/>
            </w:tcBorders>
            <w:shd w:val="clear" w:color="auto" w:fill="D9D9D9"/>
            <w:noWrap/>
            <w:vAlign w:val="center"/>
          </w:tcPr>
          <w:p w:rsidR="002A03C0" w:rsidRDefault="00B5111D" w:rsidP="000573C0">
            <w:pPr>
              <w:jc w:val="right"/>
              <w:cnfStyle w:val="000000100000" w:firstRow="0" w:lastRow="0" w:firstColumn="0" w:lastColumn="0" w:oddVBand="0" w:evenVBand="0" w:oddHBand="1" w:evenHBand="0" w:firstRowFirstColumn="0" w:firstRowLastColumn="0" w:lastRowFirstColumn="0" w:lastRowLastColumn="0"/>
            </w:pPr>
            <w:r>
              <w:t xml:space="preserve"> 91.6</w:t>
            </w:r>
          </w:p>
        </w:tc>
      </w:tr>
      <w:bookmarkEnd w:id="1"/>
    </w:tbl>
    <w:p w:rsidR="002A03C0" w:rsidRDefault="004872F1">
      <w:pPr>
        <w:pStyle w:val="ESBodyText"/>
      </w:pPr>
    </w:p>
    <w:p w:rsidR="002A03C0" w:rsidRDefault="004872F1">
      <w:pPr>
        <w:pStyle w:val="ESBodyText"/>
      </w:pPr>
    </w:p>
    <w:p w:rsidR="002A03C0" w:rsidRDefault="00B5111D">
      <w:pPr>
        <w:pStyle w:val="ESBodyText"/>
        <w:rPr>
          <w:rFonts w:eastAsiaTheme="majorEastAsia" w:cstheme="majorBidi"/>
          <w:b/>
          <w:bCs/>
          <w:color w:val="00008B"/>
          <w:szCs w:val="20"/>
        </w:rPr>
      </w:pPr>
      <w:r>
        <w:rPr>
          <w:rFonts w:eastAsiaTheme="majorEastAsia" w:cstheme="majorBidi"/>
          <w:b/>
          <w:bCs/>
          <w:color w:val="00008B"/>
          <w:szCs w:val="20"/>
        </w:rPr>
        <w:t>School Staff Survey</w:t>
      </w:r>
    </w:p>
    <w:p w:rsidR="002A03C0" w:rsidRDefault="00B5111D">
      <w:pPr>
        <w:pStyle w:val="ESBodyText"/>
      </w:pPr>
      <w:r>
        <w:t>The percent endorsement by staff on School Climate, as reported in the annual School Staff Survey.</w:t>
      </w:r>
    </w:p>
    <w:p w:rsidR="002A03C0" w:rsidRDefault="00B5111D">
      <w:pPr>
        <w:pStyle w:val="ESBodyText"/>
      </w:pPr>
      <w:r>
        <w:t>Percent endorsement indicates the percent of positive responses (agree or strongly agree) from staff who responded to the survey.</w:t>
      </w:r>
    </w:p>
    <w:p w:rsidR="002A03C0" w:rsidRDefault="00B5111D">
      <w:pPr>
        <w:pStyle w:val="ESBodyText"/>
        <w:spacing w:after="240"/>
      </w:pPr>
      <w:r>
        <w:t>Data is suppressed for schools with three or less respondents to the survey for confidentiality reasons.</w:t>
      </w:r>
    </w:p>
    <w:tbl>
      <w:tblPr>
        <w:tblStyle w:val="GridTable2-Accent61"/>
        <w:tblW w:w="4853" w:type="pct"/>
        <w:jc w:val="center"/>
        <w:tblLook w:val="04A0" w:firstRow="1" w:lastRow="0" w:firstColumn="1" w:lastColumn="0" w:noHBand="0" w:noVBand="1"/>
        <w:tblCaption w:val="School staff survey results"/>
      </w:tblPr>
      <w:tblGrid>
        <w:gridCol w:w="3702"/>
        <w:gridCol w:w="1687"/>
        <w:gridCol w:w="1687"/>
        <w:gridCol w:w="1687"/>
        <w:gridCol w:w="1686"/>
      </w:tblGrid>
      <w:tr w:rsidR="003360A1" w:rsidTr="003360A1">
        <w:trPr>
          <w:cnfStyle w:val="100000000000" w:firstRow="1" w:lastRow="0" w:firstColumn="0" w:lastColumn="0" w:oddVBand="0" w:evenVBand="0" w:oddHBand="0" w:evenHBand="0" w:firstRowFirstColumn="0" w:firstRowLastColumn="0" w:lastRowFirstColumn="0" w:lastRowLastColumn="0"/>
          <w:trHeight w:val="419"/>
          <w:tblHeader/>
          <w:jc w:val="center"/>
        </w:trPr>
        <w:tc>
          <w:tcPr>
            <w:cnfStyle w:val="001000000000" w:firstRow="0" w:lastRow="0" w:firstColumn="1" w:lastColumn="0" w:oddVBand="0" w:evenVBand="0" w:oddHBand="0" w:evenHBand="0" w:firstRowFirstColumn="0" w:firstRowLastColumn="0" w:lastRowFirstColumn="0" w:lastRowLastColumn="0"/>
            <w:tcW w:w="1771" w:type="pct"/>
            <w:tcBorders>
              <w:bottom w:val="single" w:sz="12" w:space="0" w:color="FFFFFF"/>
            </w:tcBorders>
            <w:shd w:val="clear" w:color="auto" w:fill="106CB5"/>
            <w:vAlign w:val="center"/>
            <w:hideMark/>
          </w:tcPr>
          <w:p w:rsidR="002A03C0" w:rsidRDefault="00B5111D">
            <w:pPr>
              <w:spacing w:before="40" w:after="40" w:line="240" w:lineRule="auto"/>
              <w:rPr>
                <w:rFonts w:cs="Times New Roman"/>
                <w:color w:val="FFFFFF"/>
                <w:szCs w:val="22"/>
              </w:rPr>
            </w:pPr>
            <w:r>
              <w:rPr>
                <w:rFonts w:cs="Times New Roman"/>
                <w:color w:val="FFFFFF"/>
                <w:szCs w:val="22"/>
              </w:rPr>
              <w:t>School Climate</w:t>
            </w:r>
          </w:p>
        </w:tc>
        <w:tc>
          <w:tcPr>
            <w:tcW w:w="807"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School</w:t>
            </w:r>
          </w:p>
        </w:tc>
        <w:tc>
          <w:tcPr>
            <w:tcW w:w="807"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State Median</w:t>
            </w:r>
          </w:p>
        </w:tc>
        <w:tc>
          <w:tcPr>
            <w:tcW w:w="807" w:type="pct"/>
            <w:tcBorders>
              <w:bottom w:val="single" w:sz="12" w:space="0" w:color="FFFFFF"/>
            </w:tcBorders>
            <w:shd w:val="clear" w:color="auto" w:fill="106CB5"/>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Middle 60 percent low</w:t>
            </w:r>
          </w:p>
        </w:tc>
        <w:tc>
          <w:tcPr>
            <w:tcW w:w="807"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Middle 60 percent high</w:t>
            </w:r>
          </w:p>
        </w:tc>
      </w:tr>
      <w:tr w:rsidR="003360A1" w:rsidTr="003360A1">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771" w:type="pct"/>
            <w:tcBorders>
              <w:top w:val="single" w:sz="12" w:space="0" w:color="FFFFFF"/>
              <w:bottom w:val="single" w:sz="2" w:space="0" w:color="106CB5"/>
            </w:tcBorders>
            <w:shd w:val="clear" w:color="auto" w:fill="FFFFFF"/>
            <w:noWrap/>
            <w:vAlign w:val="center"/>
          </w:tcPr>
          <w:p w:rsidR="002A03C0" w:rsidRDefault="004872F1">
            <w:pPr>
              <w:spacing w:before="40" w:after="40" w:line="240" w:lineRule="auto"/>
              <w:rPr>
                <w:rFonts w:cs="Times New Roman"/>
                <w:szCs w:val="22"/>
              </w:rPr>
            </w:pPr>
          </w:p>
        </w:tc>
        <w:tc>
          <w:tcPr>
            <w:tcW w:w="807"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807"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807" w:type="pct"/>
            <w:tcBorders>
              <w:top w:val="single" w:sz="12" w:space="0" w:color="FFFFFF"/>
              <w:bottom w:val="single" w:sz="2" w:space="0" w:color="106CB5"/>
            </w:tcBorders>
            <w:shd w:val="clear" w:color="auto" w:fill="FFFFFF"/>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807"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r>
      <w:tr w:rsidR="003360A1" w:rsidTr="003360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71" w:type="pct"/>
            <w:tcBorders>
              <w:top w:val="single" w:sz="2" w:space="0" w:color="106CB5"/>
              <w:bottom w:val="single" w:sz="2" w:space="0" w:color="106CB5"/>
            </w:tcBorders>
            <w:shd w:val="clear" w:color="auto" w:fill="D9D9D9"/>
            <w:noWrap/>
            <w:vAlign w:val="center"/>
            <w:hideMark/>
          </w:tcPr>
          <w:p w:rsidR="002A03C0" w:rsidRDefault="00B5111D">
            <w:pPr>
              <w:spacing w:before="40" w:after="40" w:line="240" w:lineRule="auto"/>
              <w:rPr>
                <w:rFonts w:cs="Times New Roman"/>
                <w:szCs w:val="22"/>
              </w:rPr>
            </w:pPr>
            <w:r>
              <w:rPr>
                <w:rFonts w:cs="Times New Roman"/>
                <w:szCs w:val="22"/>
              </w:rPr>
              <w:t>Percent endorsement (latest year)</w:t>
            </w:r>
          </w:p>
        </w:tc>
        <w:tc>
          <w:tcPr>
            <w:tcW w:w="807" w:type="pct"/>
            <w:tcBorders>
              <w:top w:val="single" w:sz="2" w:space="0" w:color="106CB5"/>
              <w:bottom w:val="single" w:sz="2" w:space="0" w:color="106CB5"/>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 xml:space="preserve"> 83.0</w:t>
            </w:r>
          </w:p>
        </w:tc>
        <w:tc>
          <w:tcPr>
            <w:tcW w:w="807" w:type="pct"/>
            <w:tcBorders>
              <w:top w:val="single" w:sz="2" w:space="0" w:color="106CB5"/>
              <w:bottom w:val="single" w:sz="2" w:space="0" w:color="106CB5"/>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 xml:space="preserve"> 77.7</w:t>
            </w:r>
          </w:p>
        </w:tc>
        <w:tc>
          <w:tcPr>
            <w:tcW w:w="807" w:type="pct"/>
            <w:tcBorders>
              <w:top w:val="single" w:sz="2" w:space="0" w:color="106CB5"/>
              <w:bottom w:val="single" w:sz="2" w:space="0" w:color="106CB5"/>
            </w:tcBorders>
            <w:shd w:val="clear" w:color="auto" w:fill="D9D9D9"/>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 xml:space="preserve"> 66.6</w:t>
            </w:r>
          </w:p>
        </w:tc>
        <w:tc>
          <w:tcPr>
            <w:tcW w:w="807" w:type="pct"/>
            <w:tcBorders>
              <w:top w:val="single" w:sz="2" w:space="0" w:color="106CB5"/>
              <w:bottom w:val="single" w:sz="2" w:space="0" w:color="106CB5"/>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 xml:space="preserve"> 86.7</w:t>
            </w:r>
          </w:p>
        </w:tc>
      </w:tr>
    </w:tbl>
    <w:p w:rsidR="002A03C0" w:rsidRDefault="00B5111D">
      <w:pPr>
        <w:spacing w:after="0" w:line="240" w:lineRule="auto"/>
        <w:rPr>
          <w:rFonts w:eastAsiaTheme="majorEastAsia" w:cstheme="majorBidi"/>
          <w:b/>
          <w:bCs/>
          <w:caps/>
          <w:color w:val="AF272F"/>
          <w:sz w:val="20"/>
          <w:szCs w:val="20"/>
        </w:rPr>
      </w:pPr>
      <w:r>
        <w:br w:type="page"/>
      </w:r>
    </w:p>
    <w:p w:rsidR="002A03C0" w:rsidRDefault="00B5111D">
      <w:pPr>
        <w:pStyle w:val="ESBodyText"/>
        <w:ind w:left="567" w:hanging="567"/>
        <w:rPr>
          <w:b/>
          <w:i/>
        </w:rPr>
      </w:pPr>
      <w:r>
        <w:rPr>
          <w:b/>
          <w:i/>
        </w:rPr>
        <w:lastRenderedPageBreak/>
        <w:t>Key:</w:t>
      </w:r>
      <w:r>
        <w:rPr>
          <w:b/>
          <w:i/>
        </w:rPr>
        <w:tab/>
        <w:t>“Middle 60 percent low” to “middle 60 percent high” is the range of results for the middle 60 percent of Victorian Government primary year levels.</w:t>
      </w:r>
    </w:p>
    <w:p w:rsidR="002A03C0" w:rsidRDefault="00B5111D">
      <w:pPr>
        <w:pStyle w:val="ESBodyText"/>
        <w:ind w:left="567"/>
        <w:rPr>
          <w:b/>
          <w:i/>
        </w:rPr>
      </w:pPr>
      <w:r>
        <w:rPr>
          <w:b/>
          <w:i/>
        </w:rPr>
        <w:t>“School Comparison” is a way of comparing school performance that takes into account the different student intake characteristics of each school. Possible School Comparison values are ‘Lower’ (lower than expected), ‘Similar’ (as expected) or ‘Higher’ (higher than expected).</w:t>
      </w:r>
    </w:p>
    <w:p w:rsidR="002A03C0" w:rsidRDefault="00B5111D">
      <w:pPr>
        <w:pStyle w:val="ESHeading2"/>
        <w:rPr>
          <w:color w:val="00008B"/>
          <w:u w:val="single"/>
        </w:rPr>
      </w:pPr>
      <w:r>
        <w:rPr>
          <w:color w:val="00008B"/>
          <w:u w:val="single"/>
        </w:rPr>
        <w:t>Achievement</w:t>
      </w:r>
    </w:p>
    <w:p w:rsidR="002A03C0" w:rsidRDefault="00B5111D">
      <w:pPr>
        <w:pStyle w:val="ESBodyText"/>
        <w:rPr>
          <w:rFonts w:eastAsiaTheme="majorEastAsia" w:cstheme="majorBidi"/>
          <w:b/>
          <w:bCs/>
          <w:color w:val="00008B"/>
          <w:szCs w:val="20"/>
        </w:rPr>
      </w:pPr>
      <w:r>
        <w:rPr>
          <w:rFonts w:eastAsiaTheme="majorEastAsia" w:cstheme="majorBidi"/>
          <w:b/>
          <w:bCs/>
          <w:color w:val="00008B"/>
          <w:szCs w:val="20"/>
        </w:rPr>
        <w:t>Teacher Judgement of student achievement</w:t>
      </w:r>
    </w:p>
    <w:p w:rsidR="002A03C0" w:rsidRDefault="00B5111D">
      <w:pPr>
        <w:pStyle w:val="ESBodyText"/>
      </w:pPr>
      <w:r>
        <w:t>Percentage of students in year levels Prep to 6 working at or above age expected standards in:</w:t>
      </w:r>
    </w:p>
    <w:p w:rsidR="002A03C0" w:rsidRDefault="00B5111D">
      <w:pPr>
        <w:pStyle w:val="ESBodyText"/>
        <w:numPr>
          <w:ilvl w:val="0"/>
          <w:numId w:val="27"/>
        </w:numPr>
      </w:pPr>
      <w:r>
        <w:t>English</w:t>
      </w:r>
    </w:p>
    <w:p w:rsidR="002A03C0" w:rsidRDefault="00B5111D">
      <w:pPr>
        <w:pStyle w:val="ESBodyText"/>
        <w:numPr>
          <w:ilvl w:val="0"/>
          <w:numId w:val="27"/>
        </w:numPr>
      </w:pPr>
      <w:r>
        <w:t>Mathematics</w:t>
      </w:r>
    </w:p>
    <w:p w:rsidR="002A03C0" w:rsidRDefault="004872F1">
      <w:pPr>
        <w:pStyle w:val="ESBodyText"/>
      </w:pPr>
    </w:p>
    <w:tbl>
      <w:tblPr>
        <w:tblStyle w:val="GridTable2-Accent61"/>
        <w:tblW w:w="4850" w:type="pct"/>
        <w:jc w:val="center"/>
        <w:tblLook w:val="04A0" w:firstRow="1" w:lastRow="0" w:firstColumn="1" w:lastColumn="0" w:noHBand="0" w:noVBand="1"/>
        <w:tblCaption w:val="Teacher judgement of student achievement"/>
      </w:tblPr>
      <w:tblGrid>
        <w:gridCol w:w="4154"/>
        <w:gridCol w:w="1255"/>
        <w:gridCol w:w="1255"/>
        <w:gridCol w:w="1256"/>
        <w:gridCol w:w="1256"/>
        <w:gridCol w:w="1267"/>
      </w:tblGrid>
      <w:tr w:rsidR="003360A1" w:rsidTr="003360A1">
        <w:trPr>
          <w:cnfStyle w:val="100000000000" w:firstRow="1" w:lastRow="0" w:firstColumn="0" w:lastColumn="0" w:oddVBand="0" w:evenVBand="0" w:oddHBand="0" w:evenHBand="0" w:firstRowFirstColumn="0" w:firstRowLastColumn="0" w:lastRowFirstColumn="0" w:lastRowLastColumn="0"/>
          <w:trHeight w:val="619"/>
          <w:tblHeader/>
          <w:jc w:val="center"/>
        </w:trPr>
        <w:tc>
          <w:tcPr>
            <w:cnfStyle w:val="001000000000" w:firstRow="0" w:lastRow="0" w:firstColumn="1" w:lastColumn="0" w:oddVBand="0" w:evenVBand="0" w:oddHBand="0" w:evenHBand="0" w:firstRowFirstColumn="0" w:firstRowLastColumn="0" w:lastRowFirstColumn="0" w:lastRowLastColumn="0"/>
            <w:tcW w:w="1990" w:type="pct"/>
            <w:tcBorders>
              <w:bottom w:val="single" w:sz="12" w:space="0" w:color="FFFFFF"/>
            </w:tcBorders>
            <w:shd w:val="clear" w:color="auto" w:fill="106CB5"/>
            <w:vAlign w:val="center"/>
            <w:hideMark/>
          </w:tcPr>
          <w:p w:rsidR="002A03C0" w:rsidRDefault="00B5111D">
            <w:pPr>
              <w:spacing w:before="40" w:after="40" w:line="240" w:lineRule="auto"/>
              <w:rPr>
                <w:rFonts w:cs="Times New Roman"/>
                <w:color w:val="FFFFFF"/>
                <w:szCs w:val="22"/>
              </w:rPr>
            </w:pPr>
            <w:r>
              <w:rPr>
                <w:rFonts w:cs="Times New Roman"/>
                <w:color w:val="FFFFFF"/>
                <w:szCs w:val="22"/>
              </w:rPr>
              <w:t>Teacher Judgments at or above age expected standards (latest year)</w:t>
            </w:r>
          </w:p>
        </w:tc>
        <w:tc>
          <w:tcPr>
            <w:tcW w:w="602"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School</w:t>
            </w:r>
          </w:p>
        </w:tc>
        <w:tc>
          <w:tcPr>
            <w:tcW w:w="602"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State Median</w:t>
            </w:r>
          </w:p>
        </w:tc>
        <w:tc>
          <w:tcPr>
            <w:tcW w:w="602" w:type="pct"/>
            <w:tcBorders>
              <w:bottom w:val="single" w:sz="12" w:space="0" w:color="FFFFFF"/>
            </w:tcBorders>
            <w:shd w:val="clear" w:color="auto" w:fill="106CB5"/>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Middle 60 percent low</w:t>
            </w:r>
          </w:p>
        </w:tc>
        <w:tc>
          <w:tcPr>
            <w:tcW w:w="602"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Middle 60 percent high</w:t>
            </w:r>
          </w:p>
        </w:tc>
        <w:tc>
          <w:tcPr>
            <w:tcW w:w="602" w:type="pct"/>
            <w:tcBorders>
              <w:bottom w:val="single" w:sz="12" w:space="0" w:color="FFFFFF"/>
            </w:tcBorders>
            <w:shd w:val="clear" w:color="auto" w:fill="106CB5"/>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School Comparison</w:t>
            </w:r>
          </w:p>
        </w:tc>
      </w:tr>
      <w:tr w:rsidR="003360A1" w:rsidTr="003360A1">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990"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rPr>
                <w:rFonts w:cs="Times New Roman"/>
                <w:szCs w:val="22"/>
              </w:rPr>
            </w:pPr>
            <w:r>
              <w:rPr>
                <w:rFonts w:cs="Times New Roman"/>
                <w:szCs w:val="22"/>
              </w:rPr>
              <w:t>Domain</w:t>
            </w:r>
          </w:p>
        </w:tc>
        <w:tc>
          <w:tcPr>
            <w:tcW w:w="602"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602"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602" w:type="pct"/>
            <w:tcBorders>
              <w:top w:val="single" w:sz="12" w:space="0" w:color="FFFFFF"/>
              <w:bottom w:val="single" w:sz="2" w:space="0" w:color="106CB5"/>
            </w:tcBorders>
            <w:shd w:val="clear" w:color="auto" w:fill="FFFFFF"/>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602"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602" w:type="pct"/>
            <w:tcBorders>
              <w:top w:val="single" w:sz="12" w:space="0" w:color="FFFFFF"/>
              <w:bottom w:val="single" w:sz="2" w:space="0" w:color="106CB5"/>
            </w:tcBorders>
            <w:shd w:val="clear" w:color="auto" w:fill="FFFFFF"/>
          </w:tcPr>
          <w:p w:rsidR="002A03C0" w:rsidRDefault="004872F1">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p>
        </w:tc>
      </w:tr>
      <w:tr w:rsidR="003360A1" w:rsidTr="003360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90" w:type="pct"/>
            <w:tcBorders>
              <w:top w:val="single" w:sz="2" w:space="0" w:color="106CB5"/>
              <w:bottom w:val="single" w:sz="2" w:space="0" w:color="106CB5"/>
            </w:tcBorders>
            <w:shd w:val="clear" w:color="auto" w:fill="D9D9D9"/>
            <w:noWrap/>
            <w:vAlign w:val="center"/>
          </w:tcPr>
          <w:p w:rsidR="002A03C0" w:rsidRDefault="00B5111D">
            <w:pPr>
              <w:spacing w:before="40" w:after="40" w:line="240" w:lineRule="auto"/>
              <w:rPr>
                <w:rFonts w:cs="Times New Roman"/>
                <w:szCs w:val="22"/>
              </w:rPr>
            </w:pPr>
            <w:r>
              <w:rPr>
                <w:rFonts w:cs="Times New Roman"/>
                <w:b w:val="0"/>
                <w:szCs w:val="22"/>
              </w:rPr>
              <w:t>English</w:t>
            </w:r>
          </w:p>
        </w:tc>
        <w:tc>
          <w:tcPr>
            <w:tcW w:w="602" w:type="pct"/>
            <w:tcBorders>
              <w:top w:val="single" w:sz="2" w:space="0" w:color="106CB5"/>
              <w:bottom w:val="single" w:sz="2" w:space="0" w:color="106CB5"/>
            </w:tcBorders>
            <w:shd w:val="clear" w:color="auto" w:fill="D9D9D9"/>
            <w:noWrap/>
            <w:vAlign w:val="bottom"/>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81.4</w:t>
            </w:r>
          </w:p>
        </w:tc>
        <w:tc>
          <w:tcPr>
            <w:tcW w:w="602" w:type="pct"/>
            <w:tcBorders>
              <w:top w:val="single" w:sz="2" w:space="0" w:color="106CB5"/>
              <w:bottom w:val="single" w:sz="2" w:space="0" w:color="106CB5"/>
            </w:tcBorders>
            <w:shd w:val="clear" w:color="auto" w:fill="D9D9D9"/>
            <w:noWrap/>
            <w:vAlign w:val="bottom"/>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90.1</w:t>
            </w:r>
          </w:p>
        </w:tc>
        <w:tc>
          <w:tcPr>
            <w:tcW w:w="602" w:type="pct"/>
            <w:tcBorders>
              <w:top w:val="single" w:sz="2" w:space="0" w:color="106CB5"/>
              <w:bottom w:val="single" w:sz="2" w:space="0" w:color="106CB5"/>
            </w:tcBorders>
            <w:shd w:val="clear" w:color="auto" w:fill="D9D9D9"/>
            <w:vAlign w:val="bottom"/>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82.6</w:t>
            </w:r>
          </w:p>
        </w:tc>
        <w:tc>
          <w:tcPr>
            <w:tcW w:w="602" w:type="pct"/>
            <w:tcBorders>
              <w:top w:val="single" w:sz="2" w:space="0" w:color="106CB5"/>
              <w:bottom w:val="single" w:sz="2" w:space="0" w:color="106CB5"/>
            </w:tcBorders>
            <w:shd w:val="clear" w:color="auto" w:fill="D9D9D9"/>
            <w:noWrap/>
            <w:vAlign w:val="bottom"/>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95.3</w:t>
            </w:r>
          </w:p>
        </w:tc>
        <w:tc>
          <w:tcPr>
            <w:tcW w:w="602" w:type="pct"/>
            <w:tcBorders>
              <w:top w:val="single" w:sz="2" w:space="0" w:color="106CB5"/>
              <w:bottom w:val="single" w:sz="2" w:space="0" w:color="106CB5"/>
            </w:tcBorders>
            <w:shd w:val="clear" w:color="auto" w:fill="D9D9D9"/>
            <w:vAlign w:val="bottom"/>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Lower</w:t>
            </w:r>
          </w:p>
        </w:tc>
      </w:tr>
      <w:tr w:rsidR="003360A1" w:rsidTr="003360A1">
        <w:trPr>
          <w:jc w:val="center"/>
        </w:trPr>
        <w:tc>
          <w:tcPr>
            <w:cnfStyle w:val="001000000000" w:firstRow="0" w:lastRow="0" w:firstColumn="1" w:lastColumn="0" w:oddVBand="0" w:evenVBand="0" w:oddHBand="0" w:evenHBand="0" w:firstRowFirstColumn="0" w:firstRowLastColumn="0" w:lastRowFirstColumn="0" w:lastRowLastColumn="0"/>
            <w:tcW w:w="1990" w:type="pct"/>
            <w:tcBorders>
              <w:top w:val="single" w:sz="2" w:space="0" w:color="106CB5"/>
              <w:bottom w:val="single" w:sz="2" w:space="0" w:color="106CB5"/>
            </w:tcBorders>
            <w:shd w:val="clear" w:color="auto" w:fill="auto"/>
            <w:noWrap/>
            <w:vAlign w:val="center"/>
            <w:hideMark/>
          </w:tcPr>
          <w:p w:rsidR="002A03C0" w:rsidRDefault="00B5111D">
            <w:pPr>
              <w:spacing w:before="40" w:after="40" w:line="240" w:lineRule="auto"/>
              <w:rPr>
                <w:rFonts w:cs="Times New Roman"/>
                <w:szCs w:val="22"/>
              </w:rPr>
            </w:pPr>
            <w:r>
              <w:rPr>
                <w:rFonts w:cs="Times New Roman"/>
                <w:b w:val="0"/>
                <w:szCs w:val="22"/>
              </w:rPr>
              <w:t>Mathematics</w:t>
            </w:r>
          </w:p>
        </w:tc>
        <w:tc>
          <w:tcPr>
            <w:tcW w:w="602" w:type="pct"/>
            <w:tcBorders>
              <w:top w:val="single" w:sz="2" w:space="0" w:color="106CB5"/>
              <w:bottom w:val="single" w:sz="2" w:space="0" w:color="106CB5"/>
            </w:tcBorders>
            <w:shd w:val="clear" w:color="auto" w:fill="auto"/>
            <w:noWrap/>
            <w:vAlign w:val="bottom"/>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88.7</w:t>
            </w:r>
          </w:p>
        </w:tc>
        <w:tc>
          <w:tcPr>
            <w:tcW w:w="602" w:type="pct"/>
            <w:tcBorders>
              <w:top w:val="single" w:sz="2" w:space="0" w:color="106CB5"/>
              <w:bottom w:val="single" w:sz="2" w:space="0" w:color="106CB5"/>
            </w:tcBorders>
            <w:shd w:val="clear" w:color="auto" w:fill="auto"/>
            <w:noWrap/>
            <w:vAlign w:val="bottom"/>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91.1</w:t>
            </w:r>
          </w:p>
        </w:tc>
        <w:tc>
          <w:tcPr>
            <w:tcW w:w="602" w:type="pct"/>
            <w:tcBorders>
              <w:top w:val="single" w:sz="2" w:space="0" w:color="106CB5"/>
              <w:bottom w:val="single" w:sz="2" w:space="0" w:color="106CB5"/>
            </w:tcBorders>
            <w:shd w:val="clear" w:color="auto" w:fill="auto"/>
            <w:vAlign w:val="bottom"/>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84.0</w:t>
            </w:r>
          </w:p>
        </w:tc>
        <w:tc>
          <w:tcPr>
            <w:tcW w:w="602" w:type="pct"/>
            <w:tcBorders>
              <w:top w:val="single" w:sz="2" w:space="0" w:color="106CB5"/>
              <w:bottom w:val="single" w:sz="2" w:space="0" w:color="106CB5"/>
            </w:tcBorders>
            <w:shd w:val="clear" w:color="auto" w:fill="auto"/>
            <w:noWrap/>
            <w:vAlign w:val="bottom"/>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96.4</w:t>
            </w:r>
          </w:p>
        </w:tc>
        <w:tc>
          <w:tcPr>
            <w:tcW w:w="602" w:type="pct"/>
            <w:tcBorders>
              <w:top w:val="single" w:sz="2" w:space="0" w:color="106CB5"/>
              <w:bottom w:val="single" w:sz="2" w:space="0" w:color="106CB5"/>
            </w:tcBorders>
            <w:vAlign w:val="bottom"/>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Similar</w:t>
            </w:r>
          </w:p>
        </w:tc>
      </w:tr>
    </w:tbl>
    <w:p w:rsidR="002A03C0" w:rsidRDefault="004872F1">
      <w:pPr>
        <w:pStyle w:val="ESBodyText"/>
      </w:pPr>
    </w:p>
    <w:p w:rsidR="002A03C0" w:rsidRDefault="00B5111D">
      <w:pPr>
        <w:pStyle w:val="ESBodyText"/>
        <w:rPr>
          <w:rFonts w:eastAsiaTheme="majorEastAsia" w:cstheme="majorBidi"/>
          <w:b/>
          <w:bCs/>
          <w:color w:val="00008B"/>
          <w:szCs w:val="20"/>
        </w:rPr>
      </w:pPr>
      <w:r>
        <w:rPr>
          <w:rFonts w:eastAsiaTheme="majorEastAsia" w:cstheme="majorBidi"/>
          <w:b/>
          <w:bCs/>
          <w:color w:val="00008B"/>
          <w:szCs w:val="20"/>
        </w:rPr>
        <w:t>NAPLAN Year 3 and Year 5</w:t>
      </w:r>
    </w:p>
    <w:p w:rsidR="002A03C0" w:rsidRDefault="00B5111D">
      <w:pPr>
        <w:pStyle w:val="ESBodyText"/>
      </w:pPr>
      <w:r>
        <w:t>The percentage of students in the top three bands of testing in NAPLAN at year levels 3 and 5.</w:t>
      </w:r>
    </w:p>
    <w:p w:rsidR="002A03C0" w:rsidRDefault="00B5111D">
      <w:pPr>
        <w:pStyle w:val="ESBodyText"/>
      </w:pPr>
      <w:r>
        <w:t>Year 3 assessments are reported on a scale from Bands 1 to 6.</w:t>
      </w:r>
    </w:p>
    <w:p w:rsidR="002A03C0" w:rsidRDefault="00B5111D">
      <w:pPr>
        <w:pStyle w:val="ESBodyText"/>
      </w:pPr>
      <w:r>
        <w:rPr>
          <w:rFonts w:eastAsia="Arial"/>
          <w:color w:val="000000"/>
        </w:rPr>
        <w:t>Year 5 assessments are reported on a scale from Bands 3 to 8.</w:t>
      </w:r>
    </w:p>
    <w:tbl>
      <w:tblPr>
        <w:tblStyle w:val="GridTable2-Accent611"/>
        <w:tblW w:w="10628" w:type="dxa"/>
        <w:jc w:val="center"/>
        <w:tblLayout w:type="fixed"/>
        <w:tblLook w:val="04A0" w:firstRow="1" w:lastRow="0" w:firstColumn="1" w:lastColumn="0" w:noHBand="0" w:noVBand="1"/>
        <w:tblCaption w:val="NAPLAN results - Year 3, Year 5, Year 7 and Year 9"/>
      </w:tblPr>
      <w:tblGrid>
        <w:gridCol w:w="2058"/>
        <w:gridCol w:w="2551"/>
        <w:gridCol w:w="1169"/>
        <w:gridCol w:w="1170"/>
        <w:gridCol w:w="1169"/>
        <w:gridCol w:w="1170"/>
        <w:gridCol w:w="1341"/>
      </w:tblGrid>
      <w:tr w:rsidR="003360A1" w:rsidTr="003360A1">
        <w:trPr>
          <w:cnfStyle w:val="100000000000" w:firstRow="1" w:lastRow="0" w:firstColumn="0" w:lastColumn="0" w:oddVBand="0" w:evenVBand="0" w:oddHBand="0" w:evenHBand="0" w:firstRowFirstColumn="0" w:firstRowLastColumn="0" w:lastRowFirstColumn="0" w:lastRowLastColumn="0"/>
          <w:trHeight w:val="611"/>
          <w:tblHeader/>
          <w:jc w:val="center"/>
        </w:trPr>
        <w:tc>
          <w:tcPr>
            <w:cnfStyle w:val="001000000000" w:firstRow="0" w:lastRow="0" w:firstColumn="1" w:lastColumn="0" w:oddVBand="0" w:evenVBand="0" w:oddHBand="0" w:evenHBand="0" w:firstRowFirstColumn="0" w:firstRowLastColumn="0" w:lastRowFirstColumn="0" w:lastRowLastColumn="0"/>
            <w:tcW w:w="2058" w:type="dxa"/>
            <w:tcBorders>
              <w:bottom w:val="single" w:sz="12" w:space="0" w:color="FFFFFF"/>
            </w:tcBorders>
            <w:shd w:val="clear" w:color="auto" w:fill="106CB5"/>
            <w:vAlign w:val="center"/>
          </w:tcPr>
          <w:p w:rsidR="002A03C0" w:rsidRDefault="00B5111D">
            <w:pPr>
              <w:spacing w:before="40" w:after="40" w:line="240" w:lineRule="auto"/>
              <w:rPr>
                <w:rFonts w:cs="Times New Roman"/>
                <w:color w:val="FFFFFF"/>
                <w:szCs w:val="22"/>
              </w:rPr>
            </w:pPr>
            <w:r>
              <w:rPr>
                <w:rFonts w:cs="Times New Roman"/>
                <w:bCs w:val="0"/>
                <w:color w:val="FFFFFF"/>
                <w:szCs w:val="22"/>
              </w:rPr>
              <w:t>NAPLAN top 3 bands</w:t>
            </w:r>
          </w:p>
          <w:p w:rsidR="002A03C0" w:rsidRDefault="00B5111D">
            <w:pPr>
              <w:spacing w:before="40" w:after="40" w:line="240" w:lineRule="auto"/>
              <w:rPr>
                <w:rFonts w:cs="Times New Roman"/>
                <w:color w:val="FFFFFF"/>
                <w:szCs w:val="22"/>
              </w:rPr>
            </w:pPr>
            <w:r>
              <w:rPr>
                <w:rFonts w:cs="Times New Roman"/>
                <w:bCs w:val="0"/>
                <w:color w:val="FFFFFF"/>
                <w:szCs w:val="22"/>
              </w:rPr>
              <w:t>(latest year)</w:t>
            </w:r>
          </w:p>
        </w:tc>
        <w:tc>
          <w:tcPr>
            <w:tcW w:w="2551" w:type="dxa"/>
            <w:tcBorders>
              <w:bottom w:val="single" w:sz="12" w:space="0" w:color="FFFFFF"/>
            </w:tcBorders>
            <w:shd w:val="clear" w:color="auto" w:fill="106CB5"/>
            <w:noWrap/>
            <w:vAlign w:val="center"/>
            <w:hideMark/>
          </w:tcPr>
          <w:p w:rsidR="002A03C0" w:rsidRDefault="004872F1">
            <w:pPr>
              <w:spacing w:before="40" w:after="40" w:line="240" w:lineRule="auto"/>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bookmarkStart w:id="2" w:name="Table_5"/>
          </w:p>
        </w:tc>
        <w:tc>
          <w:tcPr>
            <w:tcW w:w="1169" w:type="dxa"/>
            <w:tcBorders>
              <w:bottom w:val="single" w:sz="12" w:space="0" w:color="FFFFFF"/>
            </w:tcBorders>
            <w:shd w:val="clear" w:color="auto" w:fill="106CB5"/>
            <w:noWrap/>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School</w:t>
            </w:r>
          </w:p>
        </w:tc>
        <w:tc>
          <w:tcPr>
            <w:tcW w:w="1170" w:type="dxa"/>
            <w:tcBorders>
              <w:bottom w:val="single" w:sz="12" w:space="0" w:color="FFFFFF"/>
            </w:tcBorders>
            <w:shd w:val="clear" w:color="auto" w:fill="106CB5"/>
            <w:noWrap/>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State Median</w:t>
            </w:r>
          </w:p>
        </w:tc>
        <w:tc>
          <w:tcPr>
            <w:tcW w:w="1169" w:type="dxa"/>
            <w:tcBorders>
              <w:bottom w:val="single" w:sz="12" w:space="0" w:color="FFFFFF"/>
            </w:tcBorders>
            <w:shd w:val="clear" w:color="auto" w:fill="106CB5"/>
            <w:noWrap/>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Middle 60 percent low</w:t>
            </w:r>
          </w:p>
        </w:tc>
        <w:tc>
          <w:tcPr>
            <w:tcW w:w="1170" w:type="dxa"/>
            <w:tcBorders>
              <w:bottom w:val="single" w:sz="12" w:space="0" w:color="FFFFFF"/>
            </w:tcBorders>
            <w:shd w:val="clear" w:color="auto" w:fill="106CB5"/>
            <w:noWrap/>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Middle 60 percent high</w:t>
            </w:r>
          </w:p>
        </w:tc>
        <w:tc>
          <w:tcPr>
            <w:tcW w:w="1341" w:type="dxa"/>
            <w:tcBorders>
              <w:bottom w:val="single" w:sz="12" w:space="0" w:color="FFFFFF"/>
            </w:tcBorders>
            <w:shd w:val="clear" w:color="auto" w:fill="106CB5"/>
            <w:noWrap/>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School Comparison</w:t>
            </w:r>
          </w:p>
        </w:tc>
      </w:tr>
      <w:tr w:rsidR="003360A1" w:rsidTr="003360A1">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2058" w:type="dxa"/>
            <w:tcBorders>
              <w:top w:val="single" w:sz="12" w:space="0" w:color="FFFFFF"/>
              <w:bottom w:val="single" w:sz="4" w:space="0" w:color="106CB5"/>
            </w:tcBorders>
            <w:shd w:val="clear" w:color="auto" w:fill="FFFFFF"/>
          </w:tcPr>
          <w:p w:rsidR="002A03C0" w:rsidRDefault="00B5111D">
            <w:pPr>
              <w:spacing w:before="40" w:after="40" w:line="240" w:lineRule="auto"/>
              <w:rPr>
                <w:rFonts w:cs="Times New Roman"/>
                <w:szCs w:val="22"/>
              </w:rPr>
            </w:pPr>
            <w:r>
              <w:rPr>
                <w:rFonts w:cs="Times New Roman"/>
                <w:szCs w:val="22"/>
              </w:rPr>
              <w:t>Year Level</w:t>
            </w:r>
          </w:p>
        </w:tc>
        <w:tc>
          <w:tcPr>
            <w:tcW w:w="2551" w:type="dxa"/>
            <w:tcBorders>
              <w:top w:val="single" w:sz="12" w:space="0" w:color="FFFFFF"/>
              <w:bottom w:val="single" w:sz="4" w:space="0" w:color="106CB5"/>
            </w:tcBorders>
            <w:shd w:val="clear" w:color="auto" w:fill="FFFFFF"/>
            <w:noWrap/>
            <w:vAlign w:val="center"/>
          </w:tcPr>
          <w:p w:rsidR="002A03C0" w:rsidRDefault="00B5111D">
            <w:pPr>
              <w:spacing w:before="40" w:after="40" w:line="240" w:lineRule="auto"/>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Domain - measure</w:t>
            </w:r>
          </w:p>
        </w:tc>
        <w:tc>
          <w:tcPr>
            <w:tcW w:w="1169" w:type="dxa"/>
            <w:tcBorders>
              <w:top w:val="single" w:sz="12" w:space="0" w:color="FFFFFF"/>
              <w:bottom w:val="single" w:sz="4"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1170" w:type="dxa"/>
            <w:tcBorders>
              <w:top w:val="single" w:sz="12" w:space="0" w:color="FFFFFF"/>
              <w:bottom w:val="single" w:sz="4"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1169" w:type="dxa"/>
            <w:tcBorders>
              <w:top w:val="single" w:sz="12" w:space="0" w:color="FFFFFF"/>
              <w:bottom w:val="single" w:sz="4"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1170" w:type="dxa"/>
            <w:tcBorders>
              <w:top w:val="single" w:sz="12" w:space="0" w:color="FFFFFF"/>
              <w:bottom w:val="single" w:sz="4"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1341" w:type="dxa"/>
            <w:tcBorders>
              <w:top w:val="single" w:sz="12" w:space="0" w:color="FFFFFF"/>
              <w:bottom w:val="single" w:sz="4" w:space="0" w:color="106CB5"/>
            </w:tcBorders>
            <w:shd w:val="clear" w:color="auto" w:fill="FFFFFF"/>
            <w:noWrap/>
            <w:vAlign w:val="center"/>
          </w:tcPr>
          <w:p w:rsidR="002A03C0" w:rsidRDefault="004872F1">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p>
        </w:tc>
      </w:tr>
      <w:tr w:rsidR="003360A1" w:rsidTr="003360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58" w:type="dxa"/>
            <w:tcBorders>
              <w:top w:val="single" w:sz="4" w:space="0" w:color="106CB5"/>
              <w:bottom w:val="nil"/>
              <w:right w:val="single" w:sz="4" w:space="0" w:color="FFFFFF" w:themeColor="background1"/>
            </w:tcBorders>
            <w:shd w:val="clear" w:color="auto" w:fill="D9D9D9"/>
          </w:tcPr>
          <w:p w:rsidR="002A03C0" w:rsidRDefault="00B5111D">
            <w:pPr>
              <w:spacing w:before="40" w:after="40" w:line="240" w:lineRule="auto"/>
              <w:rPr>
                <w:rFonts w:cs="Times New Roman"/>
                <w:szCs w:val="22"/>
              </w:rPr>
            </w:pPr>
            <w:r>
              <w:rPr>
                <w:rFonts w:cs="Times New Roman"/>
                <w:b w:val="0"/>
                <w:szCs w:val="22"/>
              </w:rPr>
              <w:t>Year 3</w:t>
            </w:r>
          </w:p>
        </w:tc>
        <w:tc>
          <w:tcPr>
            <w:tcW w:w="2551" w:type="dxa"/>
            <w:tcBorders>
              <w:top w:val="single" w:sz="4" w:space="0" w:color="106CB5"/>
              <w:left w:val="single" w:sz="4" w:space="0" w:color="FFFFFF" w:themeColor="background1"/>
              <w:bottom w:val="nil"/>
              <w:right w:val="single" w:sz="4" w:space="0" w:color="FFFFFF" w:themeColor="background1"/>
            </w:tcBorders>
            <w:shd w:val="clear" w:color="auto" w:fill="D9D9D9"/>
            <w:noWrap/>
            <w:vAlign w:val="center"/>
          </w:tcPr>
          <w:p w:rsidR="002A03C0" w:rsidRDefault="00B5111D">
            <w:pPr>
              <w:spacing w:before="40" w:after="40" w:line="240" w:lineRule="auto"/>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szCs w:val="22"/>
              </w:rPr>
              <w:t>Reading (latest year)</w:t>
            </w:r>
          </w:p>
        </w:tc>
        <w:tc>
          <w:tcPr>
            <w:tcW w:w="1169" w:type="dxa"/>
            <w:tcBorders>
              <w:top w:val="single" w:sz="4" w:space="0" w:color="106CB5"/>
              <w:left w:val="single" w:sz="4" w:space="0" w:color="FFFFFF" w:themeColor="background1"/>
              <w:bottom w:val="nil"/>
              <w:right w:val="single" w:sz="4" w:space="0" w:color="FFFFFF" w:themeColor="background1"/>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 xml:space="preserve">  55.6</w:t>
            </w:r>
          </w:p>
        </w:tc>
        <w:tc>
          <w:tcPr>
            <w:tcW w:w="1170" w:type="dxa"/>
            <w:tcBorders>
              <w:top w:val="single" w:sz="4" w:space="0" w:color="106CB5"/>
              <w:left w:val="single" w:sz="4" w:space="0" w:color="FFFFFF" w:themeColor="background1"/>
              <w:bottom w:val="nil"/>
              <w:right w:val="single" w:sz="4" w:space="0" w:color="FFFFFF" w:themeColor="background1"/>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76.5</w:t>
            </w:r>
          </w:p>
        </w:tc>
        <w:tc>
          <w:tcPr>
            <w:tcW w:w="1169" w:type="dxa"/>
            <w:tcBorders>
              <w:top w:val="single" w:sz="4" w:space="0" w:color="106CB5"/>
              <w:left w:val="single" w:sz="4" w:space="0" w:color="FFFFFF" w:themeColor="background1"/>
              <w:bottom w:val="nil"/>
              <w:right w:val="single" w:sz="4" w:space="0" w:color="FFFFFF" w:themeColor="background1"/>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62.0</w:t>
            </w:r>
          </w:p>
        </w:tc>
        <w:tc>
          <w:tcPr>
            <w:tcW w:w="1170" w:type="dxa"/>
            <w:tcBorders>
              <w:top w:val="single" w:sz="4" w:space="0" w:color="106CB5"/>
              <w:left w:val="single" w:sz="4" w:space="0" w:color="FFFFFF" w:themeColor="background1"/>
              <w:bottom w:val="nil"/>
              <w:right w:val="single" w:sz="4" w:space="0" w:color="FFFFFF" w:themeColor="background1"/>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89.2</w:t>
            </w:r>
          </w:p>
        </w:tc>
        <w:tc>
          <w:tcPr>
            <w:tcW w:w="1341" w:type="dxa"/>
            <w:tcBorders>
              <w:top w:val="single" w:sz="4" w:space="0" w:color="106CB5"/>
              <w:left w:val="single" w:sz="4" w:space="0" w:color="FFFFFF" w:themeColor="background1"/>
              <w:bottom w:val="nil"/>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Lower</w:t>
            </w:r>
          </w:p>
        </w:tc>
      </w:tr>
      <w:tr w:rsidR="003360A1" w:rsidTr="003360A1">
        <w:trPr>
          <w:jc w:val="center"/>
        </w:trPr>
        <w:tc>
          <w:tcPr>
            <w:cnfStyle w:val="001000000000" w:firstRow="0" w:lastRow="0" w:firstColumn="1" w:lastColumn="0" w:oddVBand="0" w:evenVBand="0" w:oddHBand="0" w:evenHBand="0" w:firstRowFirstColumn="0" w:firstRowLastColumn="0" w:lastRowFirstColumn="0" w:lastRowLastColumn="0"/>
            <w:tcW w:w="2058" w:type="dxa"/>
            <w:tcBorders>
              <w:top w:val="nil"/>
              <w:bottom w:val="single" w:sz="2" w:space="0" w:color="106CB5"/>
              <w:right w:val="single" w:sz="2" w:space="0" w:color="FFFFFF"/>
            </w:tcBorders>
            <w:shd w:val="clear" w:color="auto" w:fill="auto"/>
          </w:tcPr>
          <w:p w:rsidR="002A03C0" w:rsidRDefault="00B5111D">
            <w:pPr>
              <w:spacing w:before="40" w:after="40" w:line="240" w:lineRule="auto"/>
              <w:rPr>
                <w:rFonts w:cs="Times New Roman"/>
                <w:szCs w:val="22"/>
              </w:rPr>
            </w:pPr>
            <w:r>
              <w:rPr>
                <w:rFonts w:cs="Times New Roman"/>
                <w:b w:val="0"/>
                <w:szCs w:val="22"/>
              </w:rPr>
              <w:t>Year 3</w:t>
            </w:r>
          </w:p>
        </w:tc>
        <w:tc>
          <w:tcPr>
            <w:tcW w:w="2551" w:type="dxa"/>
            <w:tcBorders>
              <w:top w:val="nil"/>
              <w:left w:val="single" w:sz="2" w:space="0" w:color="FFFFFF"/>
              <w:bottom w:val="single" w:sz="2" w:space="0" w:color="106CB5"/>
              <w:right w:val="single" w:sz="2" w:space="0" w:color="FFFFFF"/>
            </w:tcBorders>
            <w:shd w:val="clear" w:color="auto" w:fill="auto"/>
            <w:noWrap/>
            <w:vAlign w:val="center"/>
          </w:tcPr>
          <w:p w:rsidR="002A03C0" w:rsidRDefault="00B5111D">
            <w:pPr>
              <w:spacing w:before="40" w:after="40" w:line="240" w:lineRule="auto"/>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szCs w:val="22"/>
              </w:rPr>
              <w:t>Numeracy (latest year)</w:t>
            </w:r>
          </w:p>
        </w:tc>
        <w:tc>
          <w:tcPr>
            <w:tcW w:w="1169" w:type="dxa"/>
            <w:tcBorders>
              <w:top w:val="nil"/>
              <w:left w:val="single" w:sz="2" w:space="0" w:color="FFFFFF"/>
              <w:bottom w:val="single" w:sz="2" w:space="0" w:color="106CB5"/>
              <w:right w:val="single" w:sz="2" w:space="0" w:color="FFFFFF"/>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 xml:space="preserve">  71.4</w:t>
            </w:r>
          </w:p>
        </w:tc>
        <w:tc>
          <w:tcPr>
            <w:tcW w:w="1170" w:type="dxa"/>
            <w:tcBorders>
              <w:top w:val="nil"/>
              <w:left w:val="single" w:sz="2" w:space="0" w:color="FFFFFF"/>
              <w:bottom w:val="single" w:sz="2" w:space="0" w:color="106CB5"/>
              <w:right w:val="single" w:sz="2" w:space="0" w:color="FFFFFF"/>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72.5</w:t>
            </w:r>
          </w:p>
        </w:tc>
        <w:tc>
          <w:tcPr>
            <w:tcW w:w="1169" w:type="dxa"/>
            <w:tcBorders>
              <w:top w:val="nil"/>
              <w:left w:val="single" w:sz="2" w:space="0" w:color="FFFFFF"/>
              <w:bottom w:val="single" w:sz="2" w:space="0" w:color="106CB5"/>
              <w:right w:val="single" w:sz="2" w:space="0" w:color="FFFFFF"/>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53.6</w:t>
            </w:r>
          </w:p>
        </w:tc>
        <w:tc>
          <w:tcPr>
            <w:tcW w:w="1170" w:type="dxa"/>
            <w:tcBorders>
              <w:top w:val="nil"/>
              <w:left w:val="single" w:sz="2" w:space="0" w:color="FFFFFF"/>
              <w:bottom w:val="single" w:sz="2" w:space="0" w:color="106CB5"/>
              <w:right w:val="single" w:sz="2" w:space="0" w:color="FFFFFF"/>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87.5</w:t>
            </w:r>
          </w:p>
        </w:tc>
        <w:tc>
          <w:tcPr>
            <w:tcW w:w="1341" w:type="dxa"/>
            <w:tcBorders>
              <w:top w:val="nil"/>
              <w:left w:val="single" w:sz="2" w:space="0" w:color="FFFFFF"/>
              <w:bottom w:val="single" w:sz="2" w:space="0" w:color="106CB5"/>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Lower</w:t>
            </w:r>
          </w:p>
        </w:tc>
      </w:tr>
      <w:tr w:rsidR="003360A1" w:rsidTr="003360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58" w:type="dxa"/>
            <w:tcBorders>
              <w:top w:val="single" w:sz="2" w:space="0" w:color="106CB5"/>
              <w:bottom w:val="nil"/>
              <w:right w:val="single" w:sz="4" w:space="0" w:color="FFFFFF" w:themeColor="background1"/>
            </w:tcBorders>
            <w:shd w:val="clear" w:color="auto" w:fill="D9D9D9"/>
          </w:tcPr>
          <w:p w:rsidR="002A03C0" w:rsidRDefault="00B5111D">
            <w:pPr>
              <w:spacing w:before="40" w:after="40" w:line="240" w:lineRule="auto"/>
              <w:rPr>
                <w:rFonts w:cs="Times New Roman"/>
                <w:szCs w:val="22"/>
              </w:rPr>
            </w:pPr>
            <w:r>
              <w:rPr>
                <w:rFonts w:cs="Times New Roman"/>
                <w:b w:val="0"/>
                <w:szCs w:val="22"/>
              </w:rPr>
              <w:t>Year 5</w:t>
            </w:r>
          </w:p>
        </w:tc>
        <w:tc>
          <w:tcPr>
            <w:tcW w:w="2551" w:type="dxa"/>
            <w:tcBorders>
              <w:top w:val="single" w:sz="2" w:space="0" w:color="106CB5"/>
              <w:left w:val="single" w:sz="4" w:space="0" w:color="FFFFFF" w:themeColor="background1"/>
              <w:bottom w:val="nil"/>
              <w:right w:val="single" w:sz="4" w:space="0" w:color="FFFFFF" w:themeColor="background1"/>
            </w:tcBorders>
            <w:shd w:val="clear" w:color="auto" w:fill="D9D9D9"/>
            <w:noWrap/>
            <w:vAlign w:val="center"/>
          </w:tcPr>
          <w:p w:rsidR="002A03C0" w:rsidRDefault="00B5111D">
            <w:pPr>
              <w:spacing w:before="40" w:after="40" w:line="240" w:lineRule="auto"/>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szCs w:val="22"/>
              </w:rPr>
              <w:t>Reading (latest year)</w:t>
            </w:r>
          </w:p>
        </w:tc>
        <w:tc>
          <w:tcPr>
            <w:tcW w:w="1169" w:type="dxa"/>
            <w:tcBorders>
              <w:top w:val="single" w:sz="2" w:space="0" w:color="106CB5"/>
              <w:left w:val="single" w:sz="4" w:space="0" w:color="FFFFFF" w:themeColor="background1"/>
              <w:bottom w:val="nil"/>
              <w:right w:val="single" w:sz="4" w:space="0" w:color="FFFFFF" w:themeColor="background1"/>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 xml:space="preserve">  83.3</w:t>
            </w:r>
          </w:p>
        </w:tc>
        <w:tc>
          <w:tcPr>
            <w:tcW w:w="1170" w:type="dxa"/>
            <w:tcBorders>
              <w:top w:val="single" w:sz="2" w:space="0" w:color="106CB5"/>
              <w:left w:val="single" w:sz="4" w:space="0" w:color="FFFFFF" w:themeColor="background1"/>
              <w:bottom w:val="nil"/>
              <w:right w:val="single" w:sz="4" w:space="0" w:color="FFFFFF" w:themeColor="background1"/>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64.9</w:t>
            </w:r>
          </w:p>
        </w:tc>
        <w:tc>
          <w:tcPr>
            <w:tcW w:w="1169" w:type="dxa"/>
            <w:tcBorders>
              <w:top w:val="single" w:sz="2" w:space="0" w:color="106CB5"/>
              <w:left w:val="single" w:sz="4" w:space="0" w:color="FFFFFF" w:themeColor="background1"/>
              <w:bottom w:val="nil"/>
              <w:right w:val="single" w:sz="4" w:space="0" w:color="FFFFFF" w:themeColor="background1"/>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48.8</w:t>
            </w:r>
          </w:p>
        </w:tc>
        <w:tc>
          <w:tcPr>
            <w:tcW w:w="1170" w:type="dxa"/>
            <w:tcBorders>
              <w:top w:val="single" w:sz="2" w:space="0" w:color="106CB5"/>
              <w:left w:val="single" w:sz="4" w:space="0" w:color="FFFFFF" w:themeColor="background1"/>
              <w:bottom w:val="nil"/>
              <w:right w:val="single" w:sz="4" w:space="0" w:color="FFFFFF" w:themeColor="background1"/>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80.0</w:t>
            </w:r>
          </w:p>
        </w:tc>
        <w:tc>
          <w:tcPr>
            <w:tcW w:w="1341" w:type="dxa"/>
            <w:tcBorders>
              <w:top w:val="single" w:sz="2" w:space="0" w:color="106CB5"/>
              <w:left w:val="single" w:sz="4" w:space="0" w:color="FFFFFF" w:themeColor="background1"/>
              <w:bottom w:val="nil"/>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Similar</w:t>
            </w:r>
          </w:p>
        </w:tc>
      </w:tr>
      <w:tr w:rsidR="003360A1" w:rsidTr="003360A1">
        <w:trPr>
          <w:jc w:val="center"/>
        </w:trPr>
        <w:tc>
          <w:tcPr>
            <w:cnfStyle w:val="001000000000" w:firstRow="0" w:lastRow="0" w:firstColumn="1" w:lastColumn="0" w:oddVBand="0" w:evenVBand="0" w:oddHBand="0" w:evenHBand="0" w:firstRowFirstColumn="0" w:firstRowLastColumn="0" w:lastRowFirstColumn="0" w:lastRowLastColumn="0"/>
            <w:tcW w:w="2058" w:type="dxa"/>
            <w:tcBorders>
              <w:top w:val="nil"/>
              <w:bottom w:val="single" w:sz="2" w:space="0" w:color="126CB5"/>
              <w:right w:val="single" w:sz="4" w:space="0" w:color="FFFFFF" w:themeColor="background1"/>
            </w:tcBorders>
            <w:shd w:val="clear" w:color="auto" w:fill="auto"/>
          </w:tcPr>
          <w:p w:rsidR="002A03C0" w:rsidRDefault="00B5111D">
            <w:pPr>
              <w:spacing w:before="40" w:after="40" w:line="240" w:lineRule="auto"/>
              <w:rPr>
                <w:rFonts w:cs="Times New Roman"/>
                <w:szCs w:val="22"/>
              </w:rPr>
            </w:pPr>
            <w:r>
              <w:rPr>
                <w:rFonts w:cs="Times New Roman"/>
                <w:b w:val="0"/>
                <w:szCs w:val="22"/>
              </w:rPr>
              <w:t>Year 5</w:t>
            </w:r>
          </w:p>
        </w:tc>
        <w:tc>
          <w:tcPr>
            <w:tcW w:w="2551" w:type="dxa"/>
            <w:tcBorders>
              <w:top w:val="nil"/>
              <w:left w:val="single" w:sz="4" w:space="0" w:color="FFFFFF" w:themeColor="background1"/>
              <w:bottom w:val="single" w:sz="2" w:space="0" w:color="126CB5"/>
              <w:right w:val="single" w:sz="4" w:space="0" w:color="FFFFFF" w:themeColor="background1"/>
            </w:tcBorders>
            <w:shd w:val="clear" w:color="auto" w:fill="auto"/>
            <w:noWrap/>
            <w:vAlign w:val="center"/>
          </w:tcPr>
          <w:p w:rsidR="002A03C0" w:rsidRDefault="00B5111D">
            <w:pPr>
              <w:spacing w:before="40" w:after="40" w:line="240" w:lineRule="auto"/>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szCs w:val="22"/>
              </w:rPr>
              <w:t>Numeracy (latest year)</w:t>
            </w:r>
          </w:p>
        </w:tc>
        <w:tc>
          <w:tcPr>
            <w:tcW w:w="1169" w:type="dxa"/>
            <w:tcBorders>
              <w:top w:val="nil"/>
              <w:left w:val="single" w:sz="4" w:space="0" w:color="FFFFFF" w:themeColor="background1"/>
              <w:bottom w:val="single" w:sz="2" w:space="0" w:color="126CB5"/>
              <w:right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 xml:space="preserve">  66.7</w:t>
            </w:r>
          </w:p>
        </w:tc>
        <w:tc>
          <w:tcPr>
            <w:tcW w:w="1170" w:type="dxa"/>
            <w:tcBorders>
              <w:top w:val="nil"/>
              <w:left w:val="single" w:sz="4" w:space="0" w:color="FFFFFF" w:themeColor="background1"/>
              <w:bottom w:val="single" w:sz="2" w:space="0" w:color="126CB5"/>
              <w:right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55.6</w:t>
            </w:r>
          </w:p>
        </w:tc>
        <w:tc>
          <w:tcPr>
            <w:tcW w:w="1169" w:type="dxa"/>
            <w:tcBorders>
              <w:top w:val="nil"/>
              <w:left w:val="single" w:sz="4" w:space="0" w:color="FFFFFF" w:themeColor="background1"/>
              <w:bottom w:val="single" w:sz="2" w:space="0" w:color="126CB5"/>
              <w:right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37.0</w:t>
            </w:r>
          </w:p>
        </w:tc>
        <w:tc>
          <w:tcPr>
            <w:tcW w:w="1170" w:type="dxa"/>
            <w:tcBorders>
              <w:top w:val="nil"/>
              <w:left w:val="single" w:sz="4" w:space="0" w:color="FFFFFF" w:themeColor="background1"/>
              <w:bottom w:val="single" w:sz="2" w:space="0" w:color="126CB5"/>
              <w:right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75.0</w:t>
            </w:r>
          </w:p>
        </w:tc>
        <w:tc>
          <w:tcPr>
            <w:tcW w:w="1341" w:type="dxa"/>
            <w:tcBorders>
              <w:top w:val="nil"/>
              <w:left w:val="single" w:sz="4" w:space="0" w:color="FFFFFF" w:themeColor="background1"/>
              <w:bottom w:val="single" w:sz="2" w:space="0" w:color="126CB5"/>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Similar</w:t>
            </w:r>
          </w:p>
        </w:tc>
      </w:tr>
      <w:bookmarkEnd w:id="2"/>
    </w:tbl>
    <w:p w:rsidR="002A03C0" w:rsidRDefault="004872F1">
      <w:pPr>
        <w:pStyle w:val="ESBodyText"/>
      </w:pPr>
    </w:p>
    <w:tbl>
      <w:tblPr>
        <w:tblStyle w:val="GridTable2-Accent611"/>
        <w:tblW w:w="10628" w:type="dxa"/>
        <w:jc w:val="center"/>
        <w:tblLayout w:type="fixed"/>
        <w:tblLook w:val="04A0" w:firstRow="1" w:lastRow="0" w:firstColumn="1" w:lastColumn="0" w:noHBand="0" w:noVBand="1"/>
        <w:tblCaption w:val="NAPLAN 4 year Average Results - Year 3, Year 5, Year 7 and Year 9"/>
      </w:tblPr>
      <w:tblGrid>
        <w:gridCol w:w="2199"/>
        <w:gridCol w:w="2410"/>
        <w:gridCol w:w="1169"/>
        <w:gridCol w:w="1170"/>
        <w:gridCol w:w="1169"/>
        <w:gridCol w:w="1170"/>
        <w:gridCol w:w="1341"/>
      </w:tblGrid>
      <w:tr w:rsidR="003360A1" w:rsidTr="003360A1">
        <w:trPr>
          <w:cnfStyle w:val="100000000000" w:firstRow="1" w:lastRow="0" w:firstColumn="0" w:lastColumn="0" w:oddVBand="0" w:evenVBand="0" w:oddHBand="0" w:evenHBand="0" w:firstRowFirstColumn="0" w:firstRowLastColumn="0" w:lastRowFirstColumn="0" w:lastRowLastColumn="0"/>
          <w:trHeight w:val="632"/>
          <w:tblHeader/>
          <w:jc w:val="center"/>
        </w:trPr>
        <w:tc>
          <w:tcPr>
            <w:cnfStyle w:val="001000000000" w:firstRow="0" w:lastRow="0" w:firstColumn="1" w:lastColumn="0" w:oddVBand="0" w:evenVBand="0" w:oddHBand="0" w:evenHBand="0" w:firstRowFirstColumn="0" w:firstRowLastColumn="0" w:lastRowFirstColumn="0" w:lastRowLastColumn="0"/>
            <w:tcW w:w="2199" w:type="dxa"/>
            <w:tcBorders>
              <w:bottom w:val="single" w:sz="12" w:space="0" w:color="FFFFFF"/>
            </w:tcBorders>
            <w:shd w:val="clear" w:color="auto" w:fill="106CB5"/>
            <w:vAlign w:val="center"/>
          </w:tcPr>
          <w:p w:rsidR="002A03C0" w:rsidRDefault="00B5111D">
            <w:pPr>
              <w:spacing w:before="40" w:after="40" w:line="240" w:lineRule="auto"/>
              <w:rPr>
                <w:rFonts w:cs="Times New Roman"/>
                <w:color w:val="FFFFFF"/>
                <w:szCs w:val="22"/>
              </w:rPr>
            </w:pPr>
            <w:r>
              <w:rPr>
                <w:rFonts w:cs="Times New Roman"/>
                <w:bCs w:val="0"/>
                <w:color w:val="FFFFFF"/>
                <w:szCs w:val="22"/>
              </w:rPr>
              <w:t xml:space="preserve">NAPLAN top 3 bands </w:t>
            </w:r>
          </w:p>
          <w:p w:rsidR="002A03C0" w:rsidRDefault="00B5111D">
            <w:pPr>
              <w:spacing w:before="40" w:after="40" w:line="240" w:lineRule="auto"/>
              <w:rPr>
                <w:rFonts w:cs="Times New Roman"/>
                <w:color w:val="FFFFFF"/>
                <w:szCs w:val="22"/>
              </w:rPr>
            </w:pPr>
            <w:r>
              <w:rPr>
                <w:rFonts w:cs="Times New Roman"/>
                <w:bCs w:val="0"/>
                <w:color w:val="FFFFFF"/>
                <w:szCs w:val="22"/>
              </w:rPr>
              <w:t>(4 year average)</w:t>
            </w:r>
          </w:p>
        </w:tc>
        <w:tc>
          <w:tcPr>
            <w:tcW w:w="2410" w:type="dxa"/>
            <w:tcBorders>
              <w:bottom w:val="single" w:sz="12" w:space="0" w:color="FFFFFF"/>
            </w:tcBorders>
            <w:shd w:val="clear" w:color="auto" w:fill="106CB5"/>
            <w:noWrap/>
            <w:vAlign w:val="center"/>
            <w:hideMark/>
          </w:tcPr>
          <w:p w:rsidR="002A03C0" w:rsidRDefault="004872F1">
            <w:pPr>
              <w:spacing w:before="40" w:after="40" w:line="240" w:lineRule="auto"/>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p>
        </w:tc>
        <w:tc>
          <w:tcPr>
            <w:tcW w:w="1169" w:type="dxa"/>
            <w:tcBorders>
              <w:bottom w:val="single" w:sz="12" w:space="0" w:color="FFFFFF"/>
            </w:tcBorders>
            <w:shd w:val="clear" w:color="auto" w:fill="106CB5"/>
            <w:noWrap/>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School</w:t>
            </w:r>
          </w:p>
        </w:tc>
        <w:tc>
          <w:tcPr>
            <w:tcW w:w="1170" w:type="dxa"/>
            <w:tcBorders>
              <w:bottom w:val="single" w:sz="12" w:space="0" w:color="FFFFFF"/>
            </w:tcBorders>
            <w:shd w:val="clear" w:color="auto" w:fill="106CB5"/>
            <w:noWrap/>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State Median</w:t>
            </w:r>
          </w:p>
        </w:tc>
        <w:tc>
          <w:tcPr>
            <w:tcW w:w="1169" w:type="dxa"/>
            <w:tcBorders>
              <w:bottom w:val="single" w:sz="12" w:space="0" w:color="FFFFFF"/>
            </w:tcBorders>
            <w:shd w:val="clear" w:color="auto" w:fill="106CB5"/>
            <w:noWrap/>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Middle 60 percent low</w:t>
            </w:r>
          </w:p>
        </w:tc>
        <w:tc>
          <w:tcPr>
            <w:tcW w:w="1170" w:type="dxa"/>
            <w:tcBorders>
              <w:bottom w:val="single" w:sz="12" w:space="0" w:color="FFFFFF"/>
            </w:tcBorders>
            <w:shd w:val="clear" w:color="auto" w:fill="106CB5"/>
            <w:noWrap/>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Middle 60 percent high</w:t>
            </w:r>
          </w:p>
        </w:tc>
        <w:tc>
          <w:tcPr>
            <w:tcW w:w="1341" w:type="dxa"/>
            <w:tcBorders>
              <w:bottom w:val="single" w:sz="12" w:space="0" w:color="FFFFFF"/>
            </w:tcBorders>
            <w:shd w:val="clear" w:color="auto" w:fill="106CB5"/>
            <w:noWrap/>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School Comparison</w:t>
            </w:r>
          </w:p>
        </w:tc>
      </w:tr>
      <w:tr w:rsidR="003360A1" w:rsidTr="003360A1">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2199" w:type="dxa"/>
            <w:tcBorders>
              <w:top w:val="single" w:sz="12" w:space="0" w:color="FFFFFF"/>
              <w:bottom w:val="single" w:sz="4" w:space="0" w:color="106CB5"/>
            </w:tcBorders>
            <w:shd w:val="clear" w:color="auto" w:fill="FFFFFF"/>
          </w:tcPr>
          <w:p w:rsidR="002A03C0" w:rsidRDefault="00B5111D">
            <w:pPr>
              <w:spacing w:before="40" w:after="40" w:line="240" w:lineRule="auto"/>
              <w:rPr>
                <w:rFonts w:cs="Times New Roman"/>
                <w:szCs w:val="22"/>
              </w:rPr>
            </w:pPr>
            <w:r>
              <w:rPr>
                <w:rFonts w:cs="Times New Roman"/>
                <w:szCs w:val="22"/>
              </w:rPr>
              <w:t>Year Level</w:t>
            </w:r>
          </w:p>
        </w:tc>
        <w:tc>
          <w:tcPr>
            <w:tcW w:w="2410" w:type="dxa"/>
            <w:tcBorders>
              <w:top w:val="single" w:sz="12" w:space="0" w:color="FFFFFF"/>
              <w:bottom w:val="single" w:sz="4" w:space="0" w:color="106CB5"/>
            </w:tcBorders>
            <w:shd w:val="clear" w:color="auto" w:fill="FFFFFF"/>
            <w:noWrap/>
            <w:vAlign w:val="center"/>
          </w:tcPr>
          <w:p w:rsidR="002A03C0" w:rsidRDefault="00B5111D">
            <w:pPr>
              <w:spacing w:before="40" w:after="40" w:line="240" w:lineRule="auto"/>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Domain - measure</w:t>
            </w:r>
          </w:p>
        </w:tc>
        <w:tc>
          <w:tcPr>
            <w:tcW w:w="1169" w:type="dxa"/>
            <w:tcBorders>
              <w:top w:val="single" w:sz="12" w:space="0" w:color="FFFFFF"/>
              <w:bottom w:val="single" w:sz="4"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1170" w:type="dxa"/>
            <w:tcBorders>
              <w:top w:val="single" w:sz="12" w:space="0" w:color="FFFFFF"/>
              <w:bottom w:val="single" w:sz="4"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1169" w:type="dxa"/>
            <w:tcBorders>
              <w:top w:val="single" w:sz="12" w:space="0" w:color="FFFFFF"/>
              <w:bottom w:val="single" w:sz="4"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1170" w:type="dxa"/>
            <w:tcBorders>
              <w:top w:val="single" w:sz="12" w:space="0" w:color="FFFFFF"/>
              <w:bottom w:val="single" w:sz="4"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1341" w:type="dxa"/>
            <w:tcBorders>
              <w:top w:val="single" w:sz="12" w:space="0" w:color="FFFFFF"/>
              <w:bottom w:val="single" w:sz="4" w:space="0" w:color="106CB5"/>
            </w:tcBorders>
            <w:shd w:val="clear" w:color="auto" w:fill="FFFFFF"/>
            <w:noWrap/>
            <w:vAlign w:val="center"/>
          </w:tcPr>
          <w:p w:rsidR="002A03C0" w:rsidRDefault="004872F1">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p>
        </w:tc>
      </w:tr>
      <w:tr w:rsidR="003360A1" w:rsidTr="003360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99" w:type="dxa"/>
            <w:tcBorders>
              <w:top w:val="single" w:sz="4" w:space="0" w:color="106CB5"/>
              <w:bottom w:val="single" w:sz="4" w:space="0" w:color="FFFFFF" w:themeColor="background1"/>
              <w:right w:val="single" w:sz="4" w:space="0" w:color="FFFFFF" w:themeColor="background1"/>
            </w:tcBorders>
            <w:shd w:val="clear" w:color="auto" w:fill="D9D9D9" w:themeFill="background1" w:themeFillShade="D9"/>
          </w:tcPr>
          <w:p w:rsidR="002A03C0" w:rsidRDefault="00B5111D">
            <w:pPr>
              <w:spacing w:before="40" w:after="40" w:line="240" w:lineRule="auto"/>
              <w:rPr>
                <w:rFonts w:cs="Times New Roman"/>
                <w:szCs w:val="22"/>
              </w:rPr>
            </w:pPr>
            <w:r>
              <w:rPr>
                <w:rFonts w:cs="Times New Roman"/>
                <w:b w:val="0"/>
                <w:szCs w:val="22"/>
              </w:rPr>
              <w:t>Year 3</w:t>
            </w:r>
          </w:p>
        </w:tc>
        <w:tc>
          <w:tcPr>
            <w:tcW w:w="2410" w:type="dxa"/>
            <w:tcBorders>
              <w:top w:val="single" w:sz="4" w:space="0" w:color="106CB5"/>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noWrap/>
            <w:vAlign w:val="center"/>
          </w:tcPr>
          <w:p w:rsidR="002A03C0" w:rsidRDefault="00B5111D">
            <w:pPr>
              <w:spacing w:before="40" w:after="40" w:line="240" w:lineRule="auto"/>
              <w:cnfStyle w:val="000000100000" w:firstRow="0" w:lastRow="0" w:firstColumn="0" w:lastColumn="0" w:oddVBand="0" w:evenVBand="0" w:oddHBand="1" w:evenHBand="0" w:firstRowFirstColumn="0" w:firstRowLastColumn="0" w:lastRowFirstColumn="0" w:lastRowLastColumn="0"/>
              <w:rPr>
                <w:rFonts w:cs="Times New Roman"/>
                <w:bCs/>
                <w:szCs w:val="22"/>
              </w:rPr>
            </w:pPr>
            <w:r>
              <w:rPr>
                <w:rFonts w:cs="Times New Roman"/>
                <w:bCs/>
                <w:szCs w:val="22"/>
              </w:rPr>
              <w:t>Reading (4 year average)</w:t>
            </w:r>
          </w:p>
        </w:tc>
        <w:tc>
          <w:tcPr>
            <w:tcW w:w="1169" w:type="dxa"/>
            <w:tcBorders>
              <w:top w:val="single" w:sz="4" w:space="0" w:color="106CB5"/>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 xml:space="preserve">  81.0</w:t>
            </w:r>
          </w:p>
        </w:tc>
        <w:tc>
          <w:tcPr>
            <w:tcW w:w="1170" w:type="dxa"/>
            <w:tcBorders>
              <w:top w:val="single" w:sz="4" w:space="0" w:color="106CB5"/>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71.4</w:t>
            </w:r>
          </w:p>
        </w:tc>
        <w:tc>
          <w:tcPr>
            <w:tcW w:w="1169" w:type="dxa"/>
            <w:tcBorders>
              <w:top w:val="single" w:sz="4" w:space="0" w:color="106CB5"/>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57.6</w:t>
            </w:r>
          </w:p>
        </w:tc>
        <w:tc>
          <w:tcPr>
            <w:tcW w:w="1170" w:type="dxa"/>
            <w:tcBorders>
              <w:top w:val="single" w:sz="4" w:space="0" w:color="106CB5"/>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83.6</w:t>
            </w:r>
          </w:p>
        </w:tc>
        <w:tc>
          <w:tcPr>
            <w:tcW w:w="1341" w:type="dxa"/>
            <w:tcBorders>
              <w:top w:val="single" w:sz="4" w:space="0" w:color="106CB5"/>
              <w:left w:val="single" w:sz="4" w:space="0" w:color="FFFFFF" w:themeColor="background1"/>
              <w:bottom w:val="single" w:sz="4" w:space="0" w:color="FFFFFF" w:themeColor="background1"/>
            </w:tcBorders>
            <w:shd w:val="clear" w:color="auto" w:fill="D9D9D9" w:themeFill="background1" w:themeFillShade="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Similar</w:t>
            </w:r>
          </w:p>
        </w:tc>
      </w:tr>
      <w:tr w:rsidR="003360A1" w:rsidTr="003360A1">
        <w:trPr>
          <w:jc w:val="center"/>
        </w:trPr>
        <w:tc>
          <w:tcPr>
            <w:cnfStyle w:val="001000000000" w:firstRow="0" w:lastRow="0" w:firstColumn="1" w:lastColumn="0" w:oddVBand="0" w:evenVBand="0" w:oddHBand="0" w:evenHBand="0" w:firstRowFirstColumn="0" w:firstRowLastColumn="0" w:lastRowFirstColumn="0" w:lastRowLastColumn="0"/>
            <w:tcW w:w="2199" w:type="dxa"/>
            <w:tcBorders>
              <w:top w:val="single" w:sz="4" w:space="0" w:color="FFFFFF" w:themeColor="background1"/>
              <w:bottom w:val="single" w:sz="4" w:space="0" w:color="126CB5"/>
              <w:right w:val="single" w:sz="4" w:space="0" w:color="FFFFFF" w:themeColor="background1"/>
            </w:tcBorders>
            <w:shd w:val="clear" w:color="auto" w:fill="auto"/>
          </w:tcPr>
          <w:p w:rsidR="002A03C0" w:rsidRDefault="00B5111D">
            <w:pPr>
              <w:spacing w:before="40" w:after="40" w:line="240" w:lineRule="auto"/>
              <w:rPr>
                <w:rFonts w:cs="Times New Roman"/>
                <w:szCs w:val="22"/>
              </w:rPr>
            </w:pPr>
            <w:r>
              <w:rPr>
                <w:rFonts w:cs="Times New Roman"/>
                <w:b w:val="0"/>
                <w:szCs w:val="22"/>
              </w:rPr>
              <w:t>Year 3</w:t>
            </w:r>
          </w:p>
        </w:tc>
        <w:tc>
          <w:tcPr>
            <w:tcW w:w="2410" w:type="dxa"/>
            <w:tcBorders>
              <w:top w:val="single" w:sz="4" w:space="0" w:color="FFFFFF" w:themeColor="background1"/>
              <w:left w:val="single" w:sz="4" w:space="0" w:color="FFFFFF" w:themeColor="background1"/>
              <w:bottom w:val="single" w:sz="4" w:space="0" w:color="126CB5"/>
              <w:right w:val="single" w:sz="4" w:space="0" w:color="FFFFFF" w:themeColor="background1"/>
            </w:tcBorders>
            <w:shd w:val="clear" w:color="auto" w:fill="auto"/>
            <w:noWrap/>
            <w:vAlign w:val="center"/>
          </w:tcPr>
          <w:p w:rsidR="002A03C0" w:rsidRDefault="00B5111D">
            <w:pPr>
              <w:spacing w:before="40" w:after="40" w:line="240" w:lineRule="auto"/>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szCs w:val="22"/>
              </w:rPr>
              <w:t>Numeracy (4 year average)</w:t>
            </w:r>
          </w:p>
        </w:tc>
        <w:tc>
          <w:tcPr>
            <w:tcW w:w="1169" w:type="dxa"/>
            <w:tcBorders>
              <w:top w:val="single" w:sz="4" w:space="0" w:color="FFFFFF" w:themeColor="background1"/>
              <w:left w:val="single" w:sz="4" w:space="0" w:color="FFFFFF" w:themeColor="background1"/>
              <w:bottom w:val="single" w:sz="4" w:space="0" w:color="126CB5"/>
              <w:right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 xml:space="preserve">  77.5</w:t>
            </w:r>
          </w:p>
        </w:tc>
        <w:tc>
          <w:tcPr>
            <w:tcW w:w="1170" w:type="dxa"/>
            <w:tcBorders>
              <w:top w:val="single" w:sz="4" w:space="0" w:color="FFFFFF" w:themeColor="background1"/>
              <w:left w:val="single" w:sz="4" w:space="0" w:color="FFFFFF" w:themeColor="background1"/>
              <w:bottom w:val="single" w:sz="4" w:space="0" w:color="126CB5"/>
              <w:right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65.7</w:t>
            </w:r>
          </w:p>
        </w:tc>
        <w:tc>
          <w:tcPr>
            <w:tcW w:w="1169" w:type="dxa"/>
            <w:tcBorders>
              <w:top w:val="single" w:sz="4" w:space="0" w:color="FFFFFF" w:themeColor="background1"/>
              <w:left w:val="single" w:sz="4" w:space="0" w:color="FFFFFF" w:themeColor="background1"/>
              <w:bottom w:val="single" w:sz="4" w:space="0" w:color="126CB5"/>
              <w:right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51.2</w:t>
            </w:r>
          </w:p>
        </w:tc>
        <w:tc>
          <w:tcPr>
            <w:tcW w:w="1170" w:type="dxa"/>
            <w:tcBorders>
              <w:top w:val="single" w:sz="4" w:space="0" w:color="FFFFFF" w:themeColor="background1"/>
              <w:left w:val="single" w:sz="4" w:space="0" w:color="FFFFFF" w:themeColor="background1"/>
              <w:bottom w:val="single" w:sz="4" w:space="0" w:color="126CB5"/>
              <w:right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80.0</w:t>
            </w:r>
          </w:p>
        </w:tc>
        <w:tc>
          <w:tcPr>
            <w:tcW w:w="1341" w:type="dxa"/>
            <w:tcBorders>
              <w:top w:val="single" w:sz="4" w:space="0" w:color="FFFFFF" w:themeColor="background1"/>
              <w:left w:val="single" w:sz="4" w:space="0" w:color="FFFFFF" w:themeColor="background1"/>
              <w:bottom w:val="single" w:sz="4" w:space="0" w:color="126CB5"/>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Similar</w:t>
            </w:r>
          </w:p>
        </w:tc>
      </w:tr>
      <w:tr w:rsidR="003360A1" w:rsidTr="003360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99" w:type="dxa"/>
            <w:tcBorders>
              <w:top w:val="single" w:sz="4" w:space="0" w:color="126CB5"/>
              <w:bottom w:val="single" w:sz="4" w:space="0" w:color="FFFFFF" w:themeColor="background1"/>
              <w:right w:val="single" w:sz="4" w:space="0" w:color="FFFFFF" w:themeColor="background1"/>
            </w:tcBorders>
            <w:shd w:val="clear" w:color="auto" w:fill="D9D9D9" w:themeFill="background1" w:themeFillShade="D9"/>
          </w:tcPr>
          <w:p w:rsidR="002A03C0" w:rsidRDefault="00B5111D">
            <w:pPr>
              <w:spacing w:before="40" w:after="40" w:line="240" w:lineRule="auto"/>
              <w:rPr>
                <w:rFonts w:cs="Times New Roman"/>
                <w:szCs w:val="22"/>
              </w:rPr>
            </w:pPr>
            <w:r>
              <w:rPr>
                <w:rFonts w:cs="Times New Roman"/>
                <w:b w:val="0"/>
                <w:szCs w:val="22"/>
              </w:rPr>
              <w:t>Year 5</w:t>
            </w:r>
          </w:p>
        </w:tc>
        <w:tc>
          <w:tcPr>
            <w:tcW w:w="2410" w:type="dxa"/>
            <w:tcBorders>
              <w:top w:val="single" w:sz="4" w:space="0" w:color="126CB5"/>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noWrap/>
            <w:vAlign w:val="center"/>
          </w:tcPr>
          <w:p w:rsidR="002A03C0" w:rsidRDefault="00B5111D">
            <w:pPr>
              <w:spacing w:before="40" w:after="40" w:line="240" w:lineRule="auto"/>
              <w:cnfStyle w:val="000000100000" w:firstRow="0" w:lastRow="0" w:firstColumn="0" w:lastColumn="0" w:oddVBand="0" w:evenVBand="0" w:oddHBand="1" w:evenHBand="0" w:firstRowFirstColumn="0" w:firstRowLastColumn="0" w:lastRowFirstColumn="0" w:lastRowLastColumn="0"/>
              <w:rPr>
                <w:rFonts w:cs="Times New Roman"/>
                <w:szCs w:val="22"/>
              </w:rPr>
            </w:pPr>
            <w:r>
              <w:rPr>
                <w:rFonts w:cs="Times New Roman"/>
                <w:szCs w:val="22"/>
              </w:rPr>
              <w:t>Reading (4 year average)</w:t>
            </w:r>
          </w:p>
        </w:tc>
        <w:tc>
          <w:tcPr>
            <w:tcW w:w="1169" w:type="dxa"/>
            <w:tcBorders>
              <w:top w:val="single" w:sz="4" w:space="0" w:color="126CB5"/>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 xml:space="preserve">  57.1</w:t>
            </w:r>
          </w:p>
        </w:tc>
        <w:tc>
          <w:tcPr>
            <w:tcW w:w="1170" w:type="dxa"/>
            <w:tcBorders>
              <w:top w:val="single" w:sz="4" w:space="0" w:color="126CB5"/>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61.2</w:t>
            </w:r>
          </w:p>
        </w:tc>
        <w:tc>
          <w:tcPr>
            <w:tcW w:w="1169" w:type="dxa"/>
            <w:tcBorders>
              <w:top w:val="single" w:sz="4" w:space="0" w:color="126CB5"/>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47.0</w:t>
            </w:r>
          </w:p>
        </w:tc>
        <w:tc>
          <w:tcPr>
            <w:tcW w:w="1170" w:type="dxa"/>
            <w:tcBorders>
              <w:top w:val="single" w:sz="4" w:space="0" w:color="126CB5"/>
              <w:left w:val="single" w:sz="4" w:space="0" w:color="FFFFFF" w:themeColor="background1"/>
              <w:bottom w:val="single" w:sz="4" w:space="0" w:color="FFFFFF" w:themeColor="background1"/>
              <w:right w:val="single" w:sz="4" w:space="0" w:color="FFFFFF" w:themeColor="background1"/>
            </w:tcBorders>
            <w:shd w:val="clear" w:color="auto" w:fill="D9D9D9" w:themeFill="background1" w:themeFillShade="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75.5</w:t>
            </w:r>
          </w:p>
        </w:tc>
        <w:tc>
          <w:tcPr>
            <w:tcW w:w="1341" w:type="dxa"/>
            <w:tcBorders>
              <w:top w:val="single" w:sz="4" w:space="0" w:color="126CB5"/>
              <w:left w:val="single" w:sz="4" w:space="0" w:color="FFFFFF" w:themeColor="background1"/>
              <w:bottom w:val="single" w:sz="4" w:space="0" w:color="FFFFFF" w:themeColor="background1"/>
            </w:tcBorders>
            <w:shd w:val="clear" w:color="auto" w:fill="D9D9D9" w:themeFill="background1" w:themeFillShade="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Similar</w:t>
            </w:r>
          </w:p>
        </w:tc>
      </w:tr>
      <w:tr w:rsidR="003360A1" w:rsidTr="003360A1">
        <w:trPr>
          <w:jc w:val="center"/>
        </w:trPr>
        <w:tc>
          <w:tcPr>
            <w:cnfStyle w:val="001000000000" w:firstRow="0" w:lastRow="0" w:firstColumn="1" w:lastColumn="0" w:oddVBand="0" w:evenVBand="0" w:oddHBand="0" w:evenHBand="0" w:firstRowFirstColumn="0" w:firstRowLastColumn="0" w:lastRowFirstColumn="0" w:lastRowLastColumn="0"/>
            <w:tcW w:w="2199" w:type="dxa"/>
            <w:tcBorders>
              <w:top w:val="single" w:sz="4" w:space="0" w:color="FFFFFF" w:themeColor="background1"/>
              <w:bottom w:val="single" w:sz="2" w:space="0" w:color="126CB5"/>
              <w:right w:val="single" w:sz="4" w:space="0" w:color="FFFFFF" w:themeColor="background1"/>
            </w:tcBorders>
            <w:shd w:val="clear" w:color="auto" w:fill="auto"/>
          </w:tcPr>
          <w:p w:rsidR="002A03C0" w:rsidRDefault="00B5111D">
            <w:pPr>
              <w:spacing w:before="40" w:after="40" w:line="240" w:lineRule="auto"/>
              <w:rPr>
                <w:rFonts w:cs="Times New Roman"/>
                <w:szCs w:val="22"/>
              </w:rPr>
            </w:pPr>
            <w:r>
              <w:rPr>
                <w:rFonts w:cs="Times New Roman"/>
                <w:b w:val="0"/>
                <w:szCs w:val="22"/>
              </w:rPr>
              <w:t>Year 5</w:t>
            </w:r>
          </w:p>
        </w:tc>
        <w:tc>
          <w:tcPr>
            <w:tcW w:w="2410" w:type="dxa"/>
            <w:tcBorders>
              <w:top w:val="single" w:sz="4" w:space="0" w:color="FFFFFF" w:themeColor="background1"/>
              <w:left w:val="single" w:sz="4" w:space="0" w:color="FFFFFF" w:themeColor="background1"/>
              <w:bottom w:val="single" w:sz="2" w:space="0" w:color="126CB5"/>
              <w:right w:val="single" w:sz="4" w:space="0" w:color="FFFFFF" w:themeColor="background1"/>
            </w:tcBorders>
            <w:shd w:val="clear" w:color="auto" w:fill="auto"/>
            <w:noWrap/>
            <w:vAlign w:val="center"/>
          </w:tcPr>
          <w:p w:rsidR="002A03C0" w:rsidRDefault="00B5111D">
            <w:pPr>
              <w:spacing w:before="40" w:after="40" w:line="240" w:lineRule="auto"/>
              <w:cnfStyle w:val="000000000000" w:firstRow="0" w:lastRow="0" w:firstColumn="0" w:lastColumn="0" w:oddVBand="0" w:evenVBand="0" w:oddHBand="0" w:evenHBand="0" w:firstRowFirstColumn="0" w:firstRowLastColumn="0" w:lastRowFirstColumn="0" w:lastRowLastColumn="0"/>
              <w:rPr>
                <w:rFonts w:cs="Times New Roman"/>
                <w:szCs w:val="22"/>
              </w:rPr>
            </w:pPr>
            <w:r>
              <w:rPr>
                <w:rFonts w:cs="Times New Roman"/>
                <w:szCs w:val="22"/>
              </w:rPr>
              <w:t>Numeracy (4 year average)</w:t>
            </w:r>
          </w:p>
        </w:tc>
        <w:tc>
          <w:tcPr>
            <w:tcW w:w="1169" w:type="dxa"/>
            <w:tcBorders>
              <w:top w:val="single" w:sz="4" w:space="0" w:color="FFFFFF" w:themeColor="background1"/>
              <w:left w:val="single" w:sz="4" w:space="0" w:color="FFFFFF" w:themeColor="background1"/>
              <w:bottom w:val="single" w:sz="2" w:space="0" w:color="126CB5"/>
              <w:right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 xml:space="preserve">  52.8</w:t>
            </w:r>
          </w:p>
        </w:tc>
        <w:tc>
          <w:tcPr>
            <w:tcW w:w="1170" w:type="dxa"/>
            <w:tcBorders>
              <w:top w:val="single" w:sz="4" w:space="0" w:color="FFFFFF" w:themeColor="background1"/>
              <w:left w:val="single" w:sz="4" w:space="0" w:color="FFFFFF" w:themeColor="background1"/>
              <w:bottom w:val="single" w:sz="2" w:space="0" w:color="126CB5"/>
              <w:right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54.8</w:t>
            </w:r>
          </w:p>
        </w:tc>
        <w:tc>
          <w:tcPr>
            <w:tcW w:w="1169" w:type="dxa"/>
            <w:tcBorders>
              <w:top w:val="single" w:sz="4" w:space="0" w:color="FFFFFF" w:themeColor="background1"/>
              <w:left w:val="single" w:sz="4" w:space="0" w:color="FFFFFF" w:themeColor="background1"/>
              <w:bottom w:val="single" w:sz="2" w:space="0" w:color="126CB5"/>
              <w:right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39.2</w:t>
            </w:r>
          </w:p>
        </w:tc>
        <w:tc>
          <w:tcPr>
            <w:tcW w:w="1170" w:type="dxa"/>
            <w:tcBorders>
              <w:top w:val="single" w:sz="4" w:space="0" w:color="FFFFFF" w:themeColor="background1"/>
              <w:left w:val="single" w:sz="4" w:space="0" w:color="FFFFFF" w:themeColor="background1"/>
              <w:bottom w:val="single" w:sz="2" w:space="0" w:color="126CB5"/>
              <w:right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71.4</w:t>
            </w:r>
          </w:p>
        </w:tc>
        <w:tc>
          <w:tcPr>
            <w:tcW w:w="1341" w:type="dxa"/>
            <w:tcBorders>
              <w:top w:val="single" w:sz="4" w:space="0" w:color="FFFFFF" w:themeColor="background1"/>
              <w:left w:val="single" w:sz="4" w:space="0" w:color="FFFFFF" w:themeColor="background1"/>
              <w:bottom w:val="single" w:sz="2" w:space="0" w:color="126CB5"/>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Similar</w:t>
            </w:r>
          </w:p>
        </w:tc>
      </w:tr>
    </w:tbl>
    <w:p w:rsidR="002A03C0" w:rsidRDefault="004872F1">
      <w:pPr>
        <w:pStyle w:val="ESBodyText"/>
      </w:pPr>
    </w:p>
    <w:p w:rsidR="002A03C0" w:rsidRDefault="00B5111D">
      <w:pPr>
        <w:pStyle w:val="ESBodyText"/>
        <w:rPr>
          <w:rFonts w:eastAsiaTheme="majorEastAsia" w:cstheme="majorBidi"/>
          <w:b/>
          <w:bCs/>
          <w:color w:val="00008B"/>
          <w:szCs w:val="20"/>
        </w:rPr>
      </w:pPr>
      <w:r>
        <w:rPr>
          <w:rFonts w:eastAsiaTheme="majorEastAsia" w:cstheme="majorBidi"/>
          <w:b/>
          <w:bCs/>
          <w:color w:val="00008B"/>
          <w:szCs w:val="20"/>
        </w:rPr>
        <w:t>NAPLAN Learning Gain</w:t>
      </w:r>
    </w:p>
    <w:p w:rsidR="002A03C0" w:rsidRDefault="00B5111D">
      <w:pPr>
        <w:pStyle w:val="ESBodyText"/>
      </w:pPr>
      <w:r>
        <w:t>Learning gain of students from year levels 3 to 5 in the following domains; Reading, Numeracy, Writing, Spelling and Grammar and Punctuation.</w:t>
      </w:r>
    </w:p>
    <w:p w:rsidR="002A03C0" w:rsidRDefault="00B5111D">
      <w:pPr>
        <w:pStyle w:val="ESBodyText"/>
      </w:pPr>
      <w:r>
        <w:t xml:space="preserve">NAPLAN learning gain is determined by comparing a student's current year result to the results of all ‘similar’ Victorian students (i.e. students in all sectors in the same year level who had the same score two years prior).  If the student’s gain is in the top 25 percent of </w:t>
      </w:r>
      <w:r>
        <w:lastRenderedPageBreak/>
        <w:t>their cohort, their gain level is categorised as ‘High’.  If their gain is in the bottom 25 percent of their cohort, their gain level is ‘Low’, and for the remaining 50 percent of gains the gain level is categorised as ‘Medium’.</w:t>
      </w:r>
    </w:p>
    <w:p w:rsidR="002A03C0" w:rsidRDefault="00B5111D">
      <w:pPr>
        <w:pStyle w:val="ESBodyText"/>
      </w:pPr>
      <w:r>
        <w:t>The table below displays the percentage of students in each of the Learning Gain levels in this school for each NAPLAN domain.</w:t>
      </w:r>
    </w:p>
    <w:tbl>
      <w:tblPr>
        <w:tblStyle w:val="GridTable2-Accent611"/>
        <w:tblW w:w="10569" w:type="dxa"/>
        <w:jc w:val="center"/>
        <w:tblLayout w:type="fixed"/>
        <w:tblLook w:val="04A0" w:firstRow="1" w:lastRow="0" w:firstColumn="1" w:lastColumn="0" w:noHBand="0" w:noVBand="1"/>
        <w:tblCaption w:val="NAPLAN relative growth rates"/>
      </w:tblPr>
      <w:tblGrid>
        <w:gridCol w:w="3730"/>
        <w:gridCol w:w="2279"/>
        <w:gridCol w:w="2280"/>
        <w:gridCol w:w="2280"/>
      </w:tblGrid>
      <w:tr w:rsidR="003360A1" w:rsidTr="003360A1">
        <w:trPr>
          <w:cnfStyle w:val="100000000000" w:firstRow="1" w:lastRow="0" w:firstColumn="0" w:lastColumn="0" w:oddVBand="0" w:evenVBand="0" w:oddHBand="0" w:evenHBand="0" w:firstRowFirstColumn="0" w:firstRowLastColumn="0" w:lastRowFirstColumn="0" w:lastRowLastColumn="0"/>
          <w:trHeight w:val="395"/>
          <w:tblHeader/>
          <w:jc w:val="center"/>
        </w:trPr>
        <w:tc>
          <w:tcPr>
            <w:cnfStyle w:val="001000000000" w:firstRow="0" w:lastRow="0" w:firstColumn="1" w:lastColumn="0" w:oddVBand="0" w:evenVBand="0" w:oddHBand="0" w:evenHBand="0" w:firstRowFirstColumn="0" w:firstRowLastColumn="0" w:lastRowFirstColumn="0" w:lastRowLastColumn="0"/>
            <w:tcW w:w="3730" w:type="dxa"/>
            <w:tcBorders>
              <w:bottom w:val="single" w:sz="12" w:space="0" w:color="FFFFFF"/>
            </w:tcBorders>
            <w:shd w:val="clear" w:color="auto" w:fill="106CB5"/>
            <w:noWrap/>
            <w:vAlign w:val="center"/>
            <w:hideMark/>
          </w:tcPr>
          <w:p w:rsidR="002A03C0" w:rsidRDefault="00B5111D">
            <w:pPr>
              <w:spacing w:before="40" w:after="40" w:line="240" w:lineRule="auto"/>
              <w:rPr>
                <w:rFonts w:cs="Times New Roman"/>
                <w:color w:val="FFFFFF"/>
                <w:szCs w:val="22"/>
              </w:rPr>
            </w:pPr>
            <w:r>
              <w:rPr>
                <w:rFonts w:cs="Times New Roman"/>
                <w:bCs w:val="0"/>
                <w:color w:val="FFFFFF"/>
                <w:szCs w:val="22"/>
              </w:rPr>
              <w:t>NAPLAN Learning Gain</w:t>
            </w:r>
          </w:p>
        </w:tc>
        <w:tc>
          <w:tcPr>
            <w:tcW w:w="2279" w:type="dxa"/>
            <w:tcBorders>
              <w:bottom w:val="single" w:sz="12" w:space="0" w:color="FFFFFF"/>
            </w:tcBorders>
            <w:shd w:val="clear" w:color="auto" w:fill="106CB5"/>
            <w:noWrap/>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Low Growth</w:t>
            </w:r>
          </w:p>
        </w:tc>
        <w:tc>
          <w:tcPr>
            <w:tcW w:w="2280" w:type="dxa"/>
            <w:tcBorders>
              <w:bottom w:val="single" w:sz="12" w:space="0" w:color="FFFFFF"/>
            </w:tcBorders>
            <w:shd w:val="clear" w:color="auto" w:fill="106CB5"/>
            <w:noWrap/>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Medium Growth</w:t>
            </w:r>
          </w:p>
        </w:tc>
        <w:tc>
          <w:tcPr>
            <w:tcW w:w="2280" w:type="dxa"/>
            <w:tcBorders>
              <w:bottom w:val="single" w:sz="12" w:space="0" w:color="FFFFFF"/>
            </w:tcBorders>
            <w:shd w:val="clear" w:color="auto" w:fill="106CB5"/>
            <w:noWrap/>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High Growth</w:t>
            </w:r>
          </w:p>
        </w:tc>
      </w:tr>
      <w:tr w:rsidR="003360A1" w:rsidTr="003360A1">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3730" w:type="dxa"/>
            <w:tcBorders>
              <w:top w:val="single" w:sz="12" w:space="0" w:color="FFFFFF"/>
              <w:bottom w:val="single" w:sz="4" w:space="0" w:color="126CB5"/>
            </w:tcBorders>
            <w:shd w:val="clear" w:color="auto" w:fill="FFFFFF"/>
            <w:noWrap/>
            <w:vAlign w:val="center"/>
          </w:tcPr>
          <w:p w:rsidR="002A03C0" w:rsidRDefault="00B5111D">
            <w:pPr>
              <w:spacing w:before="40" w:after="40" w:line="240" w:lineRule="auto"/>
              <w:rPr>
                <w:rFonts w:cs="Times New Roman"/>
                <w:szCs w:val="22"/>
              </w:rPr>
            </w:pPr>
            <w:r>
              <w:rPr>
                <w:rFonts w:cs="Times New Roman"/>
                <w:szCs w:val="22"/>
              </w:rPr>
              <w:t>Domain</w:t>
            </w:r>
          </w:p>
        </w:tc>
        <w:tc>
          <w:tcPr>
            <w:tcW w:w="2279" w:type="dxa"/>
            <w:tcBorders>
              <w:top w:val="single" w:sz="12" w:space="0" w:color="FFFFFF"/>
              <w:bottom w:val="single" w:sz="4" w:space="0" w:color="12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2280" w:type="dxa"/>
            <w:tcBorders>
              <w:top w:val="single" w:sz="12" w:space="0" w:color="FFFFFF"/>
              <w:bottom w:val="single" w:sz="4" w:space="0" w:color="12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2280" w:type="dxa"/>
            <w:tcBorders>
              <w:top w:val="single" w:sz="12" w:space="0" w:color="FFFFFF"/>
              <w:bottom w:val="single" w:sz="4" w:space="0" w:color="12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r>
      <w:tr w:rsidR="003360A1" w:rsidTr="003360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30" w:type="dxa"/>
            <w:tcBorders>
              <w:top w:val="single" w:sz="4" w:space="0" w:color="126CB5"/>
              <w:bottom w:val="single" w:sz="4" w:space="0" w:color="FFFFFF" w:themeColor="background1"/>
              <w:right w:val="single" w:sz="4" w:space="0" w:color="FFFFFF" w:themeColor="background1"/>
            </w:tcBorders>
            <w:shd w:val="clear" w:color="auto" w:fill="D9D9D9"/>
            <w:noWrap/>
            <w:vAlign w:val="center"/>
          </w:tcPr>
          <w:p w:rsidR="002A03C0" w:rsidRDefault="00B5111D">
            <w:pPr>
              <w:spacing w:before="40" w:after="40" w:line="240" w:lineRule="auto"/>
              <w:rPr>
                <w:rFonts w:cs="Times New Roman"/>
                <w:szCs w:val="22"/>
              </w:rPr>
            </w:pPr>
            <w:r>
              <w:rPr>
                <w:rFonts w:cs="Times New Roman"/>
                <w:b w:val="0"/>
                <w:szCs w:val="22"/>
              </w:rPr>
              <w:t>Reading</w:t>
            </w:r>
          </w:p>
        </w:tc>
        <w:tc>
          <w:tcPr>
            <w:tcW w:w="2279" w:type="dxa"/>
            <w:tcBorders>
              <w:top w:val="single" w:sz="4" w:space="0" w:color="126CB5"/>
              <w:left w:val="single" w:sz="4" w:space="0" w:color="FFFFFF" w:themeColor="background1"/>
              <w:bottom w:val="single" w:sz="4" w:space="0" w:color="FFFFFF" w:themeColor="background1"/>
              <w:right w:val="single" w:sz="4" w:space="0" w:color="FFFFFF" w:themeColor="background1"/>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16.7</w:t>
            </w:r>
          </w:p>
        </w:tc>
        <w:tc>
          <w:tcPr>
            <w:tcW w:w="2280" w:type="dxa"/>
            <w:tcBorders>
              <w:top w:val="single" w:sz="4" w:space="0" w:color="126CB5"/>
              <w:left w:val="single" w:sz="4" w:space="0" w:color="FFFFFF" w:themeColor="background1"/>
              <w:bottom w:val="single" w:sz="4" w:space="0" w:color="FFFFFF" w:themeColor="background1"/>
              <w:right w:val="single" w:sz="4" w:space="0" w:color="FFFFFF" w:themeColor="background1"/>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66.7</w:t>
            </w:r>
          </w:p>
        </w:tc>
        <w:tc>
          <w:tcPr>
            <w:tcW w:w="2280" w:type="dxa"/>
            <w:tcBorders>
              <w:top w:val="single" w:sz="4" w:space="0" w:color="126CB5"/>
              <w:left w:val="single" w:sz="4" w:space="0" w:color="FFFFFF" w:themeColor="background1"/>
              <w:bottom w:val="single" w:sz="4" w:space="0" w:color="FFFFFF" w:themeColor="background1"/>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16.7</w:t>
            </w:r>
          </w:p>
        </w:tc>
      </w:tr>
      <w:tr w:rsidR="003360A1" w:rsidTr="003360A1">
        <w:trPr>
          <w:jc w:val="center"/>
        </w:trPr>
        <w:tc>
          <w:tcPr>
            <w:cnfStyle w:val="001000000000" w:firstRow="0" w:lastRow="0" w:firstColumn="1" w:lastColumn="0" w:oddVBand="0" w:evenVBand="0" w:oddHBand="0" w:evenHBand="0" w:firstRowFirstColumn="0" w:firstRowLastColumn="0" w:lastRowFirstColumn="0" w:lastRowLastColumn="0"/>
            <w:tcW w:w="3730" w:type="dxa"/>
            <w:tcBorders>
              <w:top w:val="single" w:sz="4" w:space="0" w:color="FFFFFF" w:themeColor="background1"/>
              <w:bottom w:val="single" w:sz="4" w:space="0" w:color="FFFFFF" w:themeColor="background1"/>
              <w:right w:val="single" w:sz="4" w:space="0" w:color="FFFFFF" w:themeColor="background1"/>
            </w:tcBorders>
            <w:shd w:val="clear" w:color="auto" w:fill="auto"/>
            <w:noWrap/>
            <w:vAlign w:val="center"/>
          </w:tcPr>
          <w:p w:rsidR="002A03C0" w:rsidRDefault="00B5111D">
            <w:pPr>
              <w:spacing w:before="40" w:after="40" w:line="240" w:lineRule="auto"/>
              <w:rPr>
                <w:rFonts w:cs="Times New Roman"/>
                <w:szCs w:val="22"/>
              </w:rPr>
            </w:pPr>
            <w:r>
              <w:rPr>
                <w:rFonts w:cs="Times New Roman"/>
                <w:b w:val="0"/>
                <w:bCs w:val="0"/>
                <w:szCs w:val="22"/>
              </w:rPr>
              <w:t>Numeracy</w:t>
            </w:r>
          </w:p>
        </w:tc>
        <w:tc>
          <w:tcPr>
            <w:tcW w:w="22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20.0</w:t>
            </w:r>
          </w:p>
        </w:tc>
        <w:tc>
          <w:tcPr>
            <w:tcW w:w="2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60.0</w:t>
            </w:r>
          </w:p>
        </w:tc>
        <w:tc>
          <w:tcPr>
            <w:tcW w:w="2280" w:type="dxa"/>
            <w:tcBorders>
              <w:top w:val="single" w:sz="4" w:space="0" w:color="FFFFFF" w:themeColor="background1"/>
              <w:left w:val="single" w:sz="4" w:space="0" w:color="FFFFFF" w:themeColor="background1"/>
              <w:bottom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20.0</w:t>
            </w:r>
          </w:p>
        </w:tc>
      </w:tr>
      <w:tr w:rsidR="003360A1" w:rsidTr="003360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30" w:type="dxa"/>
            <w:tcBorders>
              <w:top w:val="single" w:sz="4" w:space="0" w:color="FFFFFF" w:themeColor="background1"/>
              <w:bottom w:val="single" w:sz="4" w:space="0" w:color="FFFFFF" w:themeColor="background1"/>
              <w:right w:val="single" w:sz="4" w:space="0" w:color="FFFFFF" w:themeColor="background1"/>
            </w:tcBorders>
            <w:shd w:val="clear" w:color="auto" w:fill="DBD9D6"/>
            <w:noWrap/>
            <w:vAlign w:val="center"/>
          </w:tcPr>
          <w:p w:rsidR="002A03C0" w:rsidRDefault="00B5111D">
            <w:pPr>
              <w:spacing w:before="40" w:after="40" w:line="240" w:lineRule="auto"/>
              <w:rPr>
                <w:rFonts w:cs="Times New Roman"/>
                <w:szCs w:val="22"/>
              </w:rPr>
            </w:pPr>
            <w:r>
              <w:rPr>
                <w:rFonts w:cs="Times New Roman"/>
                <w:b w:val="0"/>
                <w:szCs w:val="22"/>
              </w:rPr>
              <w:t>Writing</w:t>
            </w:r>
          </w:p>
        </w:tc>
        <w:tc>
          <w:tcPr>
            <w:tcW w:w="22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9D6"/>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33.3</w:t>
            </w:r>
          </w:p>
        </w:tc>
        <w:tc>
          <w:tcPr>
            <w:tcW w:w="2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D9D6"/>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66.7</w:t>
            </w:r>
          </w:p>
        </w:tc>
        <w:tc>
          <w:tcPr>
            <w:tcW w:w="2280" w:type="dxa"/>
            <w:tcBorders>
              <w:top w:val="single" w:sz="4" w:space="0" w:color="FFFFFF" w:themeColor="background1"/>
              <w:left w:val="single" w:sz="4" w:space="0" w:color="FFFFFF" w:themeColor="background1"/>
              <w:bottom w:val="single" w:sz="4" w:space="0" w:color="FFFFFF" w:themeColor="background1"/>
            </w:tcBorders>
            <w:shd w:val="clear" w:color="auto" w:fill="DBD9D6"/>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 xml:space="preserve"> 0.0</w:t>
            </w:r>
          </w:p>
        </w:tc>
      </w:tr>
      <w:tr w:rsidR="003360A1" w:rsidTr="003360A1">
        <w:trPr>
          <w:jc w:val="center"/>
        </w:trPr>
        <w:tc>
          <w:tcPr>
            <w:cnfStyle w:val="001000000000" w:firstRow="0" w:lastRow="0" w:firstColumn="1" w:lastColumn="0" w:oddVBand="0" w:evenVBand="0" w:oddHBand="0" w:evenHBand="0" w:firstRowFirstColumn="0" w:firstRowLastColumn="0" w:lastRowFirstColumn="0" w:lastRowLastColumn="0"/>
            <w:tcW w:w="3730" w:type="dxa"/>
            <w:tcBorders>
              <w:top w:val="single" w:sz="4" w:space="0" w:color="FFFFFF" w:themeColor="background1"/>
              <w:bottom w:val="single" w:sz="4" w:space="0" w:color="FFFFFF" w:themeColor="background1"/>
              <w:right w:val="single" w:sz="4" w:space="0" w:color="FFFFFF" w:themeColor="background1"/>
            </w:tcBorders>
            <w:shd w:val="clear" w:color="auto" w:fill="auto"/>
            <w:noWrap/>
            <w:vAlign w:val="center"/>
          </w:tcPr>
          <w:p w:rsidR="002A03C0" w:rsidRDefault="00B5111D">
            <w:pPr>
              <w:spacing w:before="40" w:after="40" w:line="240" w:lineRule="auto"/>
              <w:rPr>
                <w:rFonts w:cs="Times New Roman"/>
                <w:szCs w:val="22"/>
              </w:rPr>
            </w:pPr>
            <w:r>
              <w:rPr>
                <w:rFonts w:cs="Times New Roman"/>
                <w:b w:val="0"/>
                <w:bCs w:val="0"/>
                <w:szCs w:val="22"/>
              </w:rPr>
              <w:t>Spelling</w:t>
            </w:r>
          </w:p>
        </w:tc>
        <w:tc>
          <w:tcPr>
            <w:tcW w:w="22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33.3</w:t>
            </w:r>
          </w:p>
        </w:tc>
        <w:tc>
          <w:tcPr>
            <w:tcW w:w="228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50.0</w:t>
            </w:r>
          </w:p>
        </w:tc>
        <w:tc>
          <w:tcPr>
            <w:tcW w:w="2280" w:type="dxa"/>
            <w:tcBorders>
              <w:top w:val="single" w:sz="4" w:space="0" w:color="FFFFFF" w:themeColor="background1"/>
              <w:left w:val="single" w:sz="4" w:space="0" w:color="FFFFFF" w:themeColor="background1"/>
              <w:bottom w:val="single" w:sz="4" w:space="0" w:color="FFFFFF" w:themeColor="background1"/>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16.7</w:t>
            </w:r>
          </w:p>
        </w:tc>
      </w:tr>
      <w:tr w:rsidR="003360A1" w:rsidTr="003360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30" w:type="dxa"/>
            <w:tcBorders>
              <w:top w:val="single" w:sz="4" w:space="0" w:color="FFFFFF" w:themeColor="background1"/>
              <w:bottom w:val="single" w:sz="4" w:space="0" w:color="106CB5"/>
              <w:right w:val="single" w:sz="4" w:space="0" w:color="FFFFFF" w:themeColor="background1"/>
            </w:tcBorders>
            <w:shd w:val="clear" w:color="auto" w:fill="DBD9D6"/>
            <w:noWrap/>
            <w:vAlign w:val="center"/>
          </w:tcPr>
          <w:p w:rsidR="002A03C0" w:rsidRDefault="00B5111D">
            <w:pPr>
              <w:spacing w:before="40" w:after="40" w:line="240" w:lineRule="auto"/>
              <w:rPr>
                <w:rFonts w:cs="Times New Roman"/>
                <w:szCs w:val="22"/>
              </w:rPr>
            </w:pPr>
            <w:r>
              <w:rPr>
                <w:rFonts w:cs="Times New Roman"/>
                <w:b w:val="0"/>
                <w:szCs w:val="22"/>
              </w:rPr>
              <w:t>Grammar and Punctuation</w:t>
            </w:r>
          </w:p>
        </w:tc>
        <w:tc>
          <w:tcPr>
            <w:tcW w:w="2279" w:type="dxa"/>
            <w:tcBorders>
              <w:top w:val="single" w:sz="4" w:space="0" w:color="FFFFFF" w:themeColor="background1"/>
              <w:left w:val="single" w:sz="4" w:space="0" w:color="FFFFFF" w:themeColor="background1"/>
              <w:bottom w:val="single" w:sz="4" w:space="0" w:color="106CB5"/>
              <w:right w:val="single" w:sz="4" w:space="0" w:color="FFFFFF" w:themeColor="background1"/>
            </w:tcBorders>
            <w:shd w:val="clear" w:color="auto" w:fill="DBD9D6"/>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50.0</w:t>
            </w:r>
          </w:p>
        </w:tc>
        <w:tc>
          <w:tcPr>
            <w:tcW w:w="2280" w:type="dxa"/>
            <w:tcBorders>
              <w:top w:val="single" w:sz="4" w:space="0" w:color="FFFFFF" w:themeColor="background1"/>
              <w:left w:val="single" w:sz="4" w:space="0" w:color="FFFFFF" w:themeColor="background1"/>
              <w:bottom w:val="single" w:sz="4" w:space="0" w:color="106CB5"/>
              <w:right w:val="single" w:sz="4" w:space="0" w:color="FFFFFF" w:themeColor="background1"/>
            </w:tcBorders>
            <w:shd w:val="clear" w:color="auto" w:fill="DBD9D6"/>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33.3</w:t>
            </w:r>
          </w:p>
        </w:tc>
        <w:tc>
          <w:tcPr>
            <w:tcW w:w="2280" w:type="dxa"/>
            <w:tcBorders>
              <w:top w:val="single" w:sz="4" w:space="0" w:color="FFFFFF" w:themeColor="background1"/>
              <w:left w:val="single" w:sz="4" w:space="0" w:color="FFFFFF" w:themeColor="background1"/>
              <w:bottom w:val="single" w:sz="4" w:space="0" w:color="106CB5"/>
            </w:tcBorders>
            <w:shd w:val="clear" w:color="auto" w:fill="DBD9D6"/>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16.7</w:t>
            </w:r>
          </w:p>
        </w:tc>
      </w:tr>
    </w:tbl>
    <w:p w:rsidR="002A03C0" w:rsidRDefault="00B5111D">
      <w:pPr>
        <w:pStyle w:val="ESHeading2"/>
        <w:rPr>
          <w:color w:val="00008B"/>
          <w:u w:val="single"/>
        </w:rPr>
      </w:pPr>
      <w:r>
        <w:rPr>
          <w:color w:val="00008B"/>
          <w:u w:val="single"/>
        </w:rPr>
        <w:t>engagement</w:t>
      </w:r>
    </w:p>
    <w:p w:rsidR="002A03C0" w:rsidRDefault="00B5111D">
      <w:pPr>
        <w:pStyle w:val="ESBodyText"/>
        <w:rPr>
          <w:rFonts w:eastAsiaTheme="majorEastAsia" w:cstheme="majorBidi"/>
          <w:b/>
          <w:bCs/>
          <w:color w:val="00008B"/>
          <w:szCs w:val="20"/>
        </w:rPr>
      </w:pPr>
      <w:r>
        <w:rPr>
          <w:rFonts w:eastAsiaTheme="majorEastAsia" w:cstheme="majorBidi"/>
          <w:b/>
          <w:bCs/>
          <w:color w:val="00008B"/>
          <w:szCs w:val="20"/>
        </w:rPr>
        <w:t>Average Number of Student Absence Days</w:t>
      </w:r>
    </w:p>
    <w:p w:rsidR="002A03C0" w:rsidRDefault="00B5111D">
      <w:pPr>
        <w:pStyle w:val="ESBodyText"/>
      </w:pPr>
      <w:r>
        <w:t>Absence from school can impact on students’ learning. A school comparison rating of ‘Higher’ indicates this school records less absences than expected, given the background characteristics of students. A rating of ‘Lower’ indicates this school records more absences than expected.</w:t>
      </w:r>
    </w:p>
    <w:p w:rsidR="002A03C0" w:rsidRDefault="00B5111D">
      <w:pPr>
        <w:pStyle w:val="ESBodyText"/>
      </w:pPr>
      <w:r>
        <w:t>Common reasons for non-attendance include illness and extended family holidays.</w:t>
      </w:r>
    </w:p>
    <w:tbl>
      <w:tblPr>
        <w:tblStyle w:val="GridTable2-Accent61"/>
        <w:tblW w:w="4850" w:type="pct"/>
        <w:jc w:val="center"/>
        <w:tblLayout w:type="fixed"/>
        <w:tblLook w:val="04A0" w:firstRow="1" w:lastRow="0" w:firstColumn="1" w:lastColumn="0" w:noHBand="0" w:noVBand="1"/>
        <w:tblCaption w:val="Average number of student absence days"/>
      </w:tblPr>
      <w:tblGrid>
        <w:gridCol w:w="4529"/>
        <w:gridCol w:w="1147"/>
        <w:gridCol w:w="1149"/>
        <w:gridCol w:w="1147"/>
        <w:gridCol w:w="1149"/>
        <w:gridCol w:w="1322"/>
      </w:tblGrid>
      <w:tr w:rsidR="003360A1" w:rsidTr="003360A1">
        <w:trPr>
          <w:cnfStyle w:val="100000000000" w:firstRow="1" w:lastRow="0" w:firstColumn="0" w:lastColumn="0" w:oddVBand="0" w:evenVBand="0" w:oddHBand="0" w:evenHBand="0" w:firstRowFirstColumn="0" w:firstRowLastColumn="0" w:lastRowFirstColumn="0" w:lastRowLastColumn="0"/>
          <w:trHeight w:val="632"/>
          <w:tblHeader/>
          <w:jc w:val="center"/>
        </w:trPr>
        <w:tc>
          <w:tcPr>
            <w:cnfStyle w:val="001000000000" w:firstRow="0" w:lastRow="0" w:firstColumn="1" w:lastColumn="0" w:oddVBand="0" w:evenVBand="0" w:oddHBand="0" w:evenHBand="0" w:firstRowFirstColumn="0" w:firstRowLastColumn="0" w:lastRowFirstColumn="0" w:lastRowLastColumn="0"/>
            <w:tcW w:w="2169" w:type="pct"/>
            <w:tcBorders>
              <w:bottom w:val="single" w:sz="12" w:space="0" w:color="FFFFFF"/>
            </w:tcBorders>
            <w:shd w:val="clear" w:color="auto" w:fill="106CB5"/>
            <w:vAlign w:val="center"/>
            <w:hideMark/>
          </w:tcPr>
          <w:p w:rsidR="002A03C0" w:rsidRDefault="00B5111D">
            <w:pPr>
              <w:spacing w:before="40" w:after="40" w:line="240" w:lineRule="auto"/>
              <w:rPr>
                <w:rFonts w:cs="Times New Roman"/>
                <w:color w:val="FFFFFF"/>
                <w:szCs w:val="22"/>
              </w:rPr>
            </w:pPr>
            <w:r>
              <w:rPr>
                <w:rFonts w:cs="Times New Roman"/>
                <w:color w:val="FFFFFF"/>
                <w:szCs w:val="22"/>
              </w:rPr>
              <w:t>Average number of absence days</w:t>
            </w:r>
          </w:p>
        </w:tc>
        <w:tc>
          <w:tcPr>
            <w:tcW w:w="549"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School</w:t>
            </w:r>
          </w:p>
        </w:tc>
        <w:tc>
          <w:tcPr>
            <w:tcW w:w="550"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State Median</w:t>
            </w:r>
          </w:p>
        </w:tc>
        <w:tc>
          <w:tcPr>
            <w:tcW w:w="549" w:type="pct"/>
            <w:tcBorders>
              <w:bottom w:val="single" w:sz="12" w:space="0" w:color="FFFFFF"/>
            </w:tcBorders>
            <w:shd w:val="clear" w:color="auto" w:fill="106CB5"/>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Middle 60 percent low</w:t>
            </w:r>
          </w:p>
        </w:tc>
        <w:tc>
          <w:tcPr>
            <w:tcW w:w="550"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Middle 60 percent high</w:t>
            </w:r>
          </w:p>
        </w:tc>
        <w:tc>
          <w:tcPr>
            <w:tcW w:w="633" w:type="pct"/>
            <w:tcBorders>
              <w:bottom w:val="single" w:sz="12" w:space="0" w:color="FFFFFF"/>
            </w:tcBorders>
            <w:shd w:val="clear" w:color="auto" w:fill="106CB5"/>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School Comparison</w:t>
            </w:r>
          </w:p>
        </w:tc>
      </w:tr>
      <w:tr w:rsidR="003360A1" w:rsidTr="003360A1">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2169" w:type="pct"/>
            <w:tcBorders>
              <w:top w:val="single" w:sz="12" w:space="0" w:color="FFFFFF"/>
              <w:bottom w:val="single" w:sz="2" w:space="0" w:color="106CB5"/>
            </w:tcBorders>
            <w:shd w:val="clear" w:color="auto" w:fill="FFFFFF"/>
            <w:noWrap/>
            <w:vAlign w:val="center"/>
          </w:tcPr>
          <w:p w:rsidR="002A03C0" w:rsidRDefault="004872F1">
            <w:pPr>
              <w:spacing w:before="40" w:after="40" w:line="240" w:lineRule="auto"/>
              <w:rPr>
                <w:rFonts w:cs="Times New Roman"/>
                <w:szCs w:val="22"/>
              </w:rPr>
            </w:pPr>
          </w:p>
        </w:tc>
        <w:tc>
          <w:tcPr>
            <w:tcW w:w="549"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Number</w:t>
            </w:r>
          </w:p>
        </w:tc>
        <w:tc>
          <w:tcPr>
            <w:tcW w:w="550"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Number</w:t>
            </w:r>
          </w:p>
        </w:tc>
        <w:tc>
          <w:tcPr>
            <w:tcW w:w="549" w:type="pct"/>
            <w:tcBorders>
              <w:top w:val="single" w:sz="12" w:space="0" w:color="FFFFFF"/>
              <w:bottom w:val="single" w:sz="2" w:space="0" w:color="106CB5"/>
            </w:tcBorders>
            <w:shd w:val="clear" w:color="auto" w:fill="FFFFFF"/>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Number</w:t>
            </w:r>
          </w:p>
        </w:tc>
        <w:tc>
          <w:tcPr>
            <w:tcW w:w="550"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Number</w:t>
            </w:r>
          </w:p>
        </w:tc>
        <w:tc>
          <w:tcPr>
            <w:tcW w:w="633" w:type="pct"/>
            <w:tcBorders>
              <w:top w:val="single" w:sz="12" w:space="0" w:color="FFFFFF"/>
              <w:bottom w:val="single" w:sz="2" w:space="0" w:color="106CB5"/>
            </w:tcBorders>
            <w:shd w:val="clear" w:color="auto" w:fill="FFFFFF"/>
          </w:tcPr>
          <w:p w:rsidR="002A03C0" w:rsidRDefault="004872F1">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p>
        </w:tc>
      </w:tr>
      <w:tr w:rsidR="003360A1" w:rsidTr="003360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9" w:type="pct"/>
            <w:tcBorders>
              <w:top w:val="single" w:sz="2" w:space="0" w:color="106CB5"/>
              <w:bottom w:val="single" w:sz="2" w:space="0" w:color="106CB5"/>
            </w:tcBorders>
            <w:shd w:val="clear" w:color="auto" w:fill="D9D9D9"/>
            <w:noWrap/>
            <w:vAlign w:val="center"/>
          </w:tcPr>
          <w:p w:rsidR="002A03C0" w:rsidRDefault="00B5111D">
            <w:pPr>
              <w:spacing w:before="40" w:after="40" w:line="240" w:lineRule="auto"/>
              <w:rPr>
                <w:rFonts w:cs="Times New Roman"/>
                <w:szCs w:val="22"/>
              </w:rPr>
            </w:pPr>
            <w:r>
              <w:rPr>
                <w:rFonts w:cs="Times New Roman"/>
                <w:szCs w:val="22"/>
              </w:rPr>
              <w:t>Average number of absence days (latest year)</w:t>
            </w:r>
          </w:p>
        </w:tc>
        <w:tc>
          <w:tcPr>
            <w:tcW w:w="549" w:type="pct"/>
            <w:tcBorders>
              <w:top w:val="single" w:sz="2" w:space="0" w:color="106CB5"/>
              <w:bottom w:val="single" w:sz="2" w:space="0" w:color="106CB5"/>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12.5</w:t>
            </w:r>
          </w:p>
        </w:tc>
        <w:tc>
          <w:tcPr>
            <w:tcW w:w="550" w:type="pct"/>
            <w:tcBorders>
              <w:top w:val="single" w:sz="2" w:space="0" w:color="106CB5"/>
              <w:bottom w:val="single" w:sz="2" w:space="0" w:color="106CB5"/>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15.1</w:t>
            </w:r>
          </w:p>
        </w:tc>
        <w:tc>
          <w:tcPr>
            <w:tcW w:w="549" w:type="pct"/>
            <w:tcBorders>
              <w:top w:val="single" w:sz="2" w:space="0" w:color="106CB5"/>
              <w:bottom w:val="single" w:sz="2" w:space="0" w:color="106CB5"/>
            </w:tcBorders>
            <w:shd w:val="clear" w:color="auto" w:fill="D9D9D9"/>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12.9</w:t>
            </w:r>
          </w:p>
        </w:tc>
        <w:tc>
          <w:tcPr>
            <w:tcW w:w="550" w:type="pct"/>
            <w:tcBorders>
              <w:top w:val="single" w:sz="2" w:space="0" w:color="106CB5"/>
              <w:bottom w:val="single" w:sz="2" w:space="0" w:color="106CB5"/>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18.1</w:t>
            </w:r>
          </w:p>
        </w:tc>
        <w:tc>
          <w:tcPr>
            <w:tcW w:w="633" w:type="pct"/>
            <w:tcBorders>
              <w:top w:val="single" w:sz="2" w:space="0" w:color="106CB5"/>
              <w:bottom w:val="single" w:sz="2" w:space="0" w:color="106CB5"/>
            </w:tcBorders>
            <w:shd w:val="clear" w:color="auto" w:fill="D9D9D9"/>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Similar</w:t>
            </w:r>
          </w:p>
        </w:tc>
      </w:tr>
      <w:tr w:rsidR="003360A1" w:rsidTr="003360A1">
        <w:trPr>
          <w:jc w:val="center"/>
        </w:trPr>
        <w:tc>
          <w:tcPr>
            <w:cnfStyle w:val="001000000000" w:firstRow="0" w:lastRow="0" w:firstColumn="1" w:lastColumn="0" w:oddVBand="0" w:evenVBand="0" w:oddHBand="0" w:evenHBand="0" w:firstRowFirstColumn="0" w:firstRowLastColumn="0" w:lastRowFirstColumn="0" w:lastRowLastColumn="0"/>
            <w:tcW w:w="2169" w:type="pct"/>
            <w:tcBorders>
              <w:top w:val="single" w:sz="2" w:space="0" w:color="106CB5"/>
              <w:bottom w:val="single" w:sz="2" w:space="0" w:color="106CB5"/>
            </w:tcBorders>
            <w:shd w:val="clear" w:color="auto" w:fill="auto"/>
            <w:noWrap/>
            <w:vAlign w:val="center"/>
            <w:hideMark/>
          </w:tcPr>
          <w:p w:rsidR="002A03C0" w:rsidRDefault="00B5111D">
            <w:pPr>
              <w:spacing w:before="40" w:after="40" w:line="240" w:lineRule="auto"/>
              <w:rPr>
                <w:rFonts w:cs="Times New Roman"/>
                <w:szCs w:val="22"/>
              </w:rPr>
            </w:pPr>
            <w:r>
              <w:rPr>
                <w:rFonts w:cs="Times New Roman"/>
                <w:szCs w:val="22"/>
              </w:rPr>
              <w:t>Average number of absence days (4 year average)</w:t>
            </w:r>
          </w:p>
        </w:tc>
        <w:tc>
          <w:tcPr>
            <w:tcW w:w="549" w:type="pct"/>
            <w:tcBorders>
              <w:top w:val="single" w:sz="2" w:space="0" w:color="106CB5"/>
              <w:bottom w:val="single" w:sz="2" w:space="0" w:color="106CB5"/>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12.4</w:t>
            </w:r>
          </w:p>
        </w:tc>
        <w:tc>
          <w:tcPr>
            <w:tcW w:w="550" w:type="pct"/>
            <w:tcBorders>
              <w:top w:val="single" w:sz="2" w:space="0" w:color="106CB5"/>
              <w:bottom w:val="single" w:sz="2" w:space="0" w:color="106CB5"/>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15.2</w:t>
            </w:r>
          </w:p>
        </w:tc>
        <w:tc>
          <w:tcPr>
            <w:tcW w:w="549" w:type="pct"/>
            <w:tcBorders>
              <w:top w:val="single" w:sz="2" w:space="0" w:color="106CB5"/>
              <w:bottom w:val="single" w:sz="2" w:space="0" w:color="106CB5"/>
            </w:tcBorders>
            <w:shd w:val="clear" w:color="auto" w:fill="auto"/>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13.2</w:t>
            </w:r>
          </w:p>
        </w:tc>
        <w:tc>
          <w:tcPr>
            <w:tcW w:w="550" w:type="pct"/>
            <w:tcBorders>
              <w:top w:val="single" w:sz="2" w:space="0" w:color="106CB5"/>
              <w:bottom w:val="single" w:sz="2" w:space="0" w:color="106CB5"/>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17.8</w:t>
            </w:r>
          </w:p>
        </w:tc>
        <w:tc>
          <w:tcPr>
            <w:tcW w:w="633" w:type="pct"/>
            <w:tcBorders>
              <w:top w:val="single" w:sz="2" w:space="0" w:color="106CB5"/>
              <w:bottom w:val="single" w:sz="2" w:space="0" w:color="106CB5"/>
            </w:tcBorders>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Similar</w:t>
            </w:r>
          </w:p>
        </w:tc>
      </w:tr>
    </w:tbl>
    <w:p w:rsidR="002A03C0" w:rsidRDefault="004872F1">
      <w:pPr>
        <w:pStyle w:val="ESBodyText"/>
        <w:rPr>
          <w:rFonts w:eastAsiaTheme="majorEastAsia" w:cstheme="majorBidi"/>
          <w:b/>
          <w:bCs/>
          <w:color w:val="AF272F"/>
          <w:szCs w:val="20"/>
        </w:rPr>
      </w:pPr>
    </w:p>
    <w:p w:rsidR="002A03C0" w:rsidRDefault="00B5111D">
      <w:pPr>
        <w:pStyle w:val="ESBodyText"/>
        <w:rPr>
          <w:rFonts w:eastAsiaTheme="majorEastAsia" w:cstheme="majorBidi"/>
          <w:b/>
          <w:bCs/>
          <w:color w:val="00008B"/>
          <w:szCs w:val="20"/>
        </w:rPr>
      </w:pPr>
      <w:r>
        <w:rPr>
          <w:rFonts w:eastAsiaTheme="majorEastAsia" w:cstheme="majorBidi"/>
          <w:b/>
          <w:bCs/>
          <w:color w:val="00008B"/>
          <w:szCs w:val="20"/>
        </w:rPr>
        <w:t>Attendance Rate</w:t>
      </w:r>
    </w:p>
    <w:p w:rsidR="002A03C0" w:rsidRDefault="00B5111D">
      <w:pPr>
        <w:pStyle w:val="ESBodyText"/>
      </w:pPr>
      <w:r>
        <w:t>Average 2018 attendance rate by year level:</w:t>
      </w:r>
    </w:p>
    <w:tbl>
      <w:tblPr>
        <w:tblStyle w:val="GridTable2-Accent61"/>
        <w:tblW w:w="4838" w:type="pct"/>
        <w:jc w:val="center"/>
        <w:tblLook w:val="04A0" w:firstRow="1" w:lastRow="0" w:firstColumn="1" w:lastColumn="0" w:noHBand="0" w:noVBand="1"/>
        <w:tblCaption w:val="Attendance rate"/>
      </w:tblPr>
      <w:tblGrid>
        <w:gridCol w:w="3155"/>
        <w:gridCol w:w="1038"/>
        <w:gridCol w:w="1038"/>
        <w:gridCol w:w="1038"/>
        <w:gridCol w:w="1040"/>
        <w:gridCol w:w="1035"/>
        <w:gridCol w:w="1035"/>
        <w:gridCol w:w="1038"/>
      </w:tblGrid>
      <w:tr w:rsidR="003360A1" w:rsidTr="003360A1">
        <w:trPr>
          <w:cnfStyle w:val="100000000000" w:firstRow="1" w:lastRow="0" w:firstColumn="0" w:lastColumn="0" w:oddVBand="0" w:evenVBand="0" w:oddHBand="0" w:evenHBand="0" w:firstRowFirstColumn="0" w:firstRowLastColumn="0" w:lastRowFirstColumn="0" w:lastRowLastColumn="0"/>
          <w:trHeight w:val="501"/>
          <w:tblHeader/>
          <w:jc w:val="center"/>
        </w:trPr>
        <w:tc>
          <w:tcPr>
            <w:cnfStyle w:val="001000000000" w:firstRow="0" w:lastRow="0" w:firstColumn="1" w:lastColumn="0" w:oddVBand="0" w:evenVBand="0" w:oddHBand="0" w:evenHBand="0" w:firstRowFirstColumn="0" w:firstRowLastColumn="0" w:lastRowFirstColumn="0" w:lastRowLastColumn="0"/>
            <w:tcW w:w="1515" w:type="pct"/>
            <w:tcBorders>
              <w:bottom w:val="single" w:sz="12" w:space="0" w:color="FFFFFF"/>
            </w:tcBorders>
            <w:shd w:val="clear" w:color="auto" w:fill="106CB5"/>
            <w:vAlign w:val="center"/>
            <w:hideMark/>
          </w:tcPr>
          <w:p w:rsidR="002A03C0" w:rsidRDefault="00B5111D">
            <w:pPr>
              <w:spacing w:before="40" w:after="40" w:line="240" w:lineRule="auto"/>
              <w:jc w:val="right"/>
              <w:rPr>
                <w:rFonts w:cs="Times New Roman"/>
                <w:color w:val="FFFFFF"/>
                <w:szCs w:val="22"/>
              </w:rPr>
            </w:pPr>
            <w:r>
              <w:rPr>
                <w:rFonts w:cs="Times New Roman"/>
                <w:color w:val="FFFFFF"/>
                <w:szCs w:val="22"/>
              </w:rPr>
              <w:t>Year Level</w:t>
            </w:r>
          </w:p>
        </w:tc>
        <w:tc>
          <w:tcPr>
            <w:tcW w:w="498"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Prep</w:t>
            </w:r>
          </w:p>
        </w:tc>
        <w:tc>
          <w:tcPr>
            <w:tcW w:w="498"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Year 1</w:t>
            </w:r>
          </w:p>
        </w:tc>
        <w:tc>
          <w:tcPr>
            <w:tcW w:w="498" w:type="pct"/>
            <w:tcBorders>
              <w:bottom w:val="single" w:sz="12" w:space="0" w:color="FFFFFF"/>
            </w:tcBorders>
            <w:shd w:val="clear" w:color="auto" w:fill="106CB5"/>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Year 2</w:t>
            </w:r>
          </w:p>
        </w:tc>
        <w:tc>
          <w:tcPr>
            <w:tcW w:w="499" w:type="pct"/>
            <w:tcBorders>
              <w:bottom w:val="single" w:sz="12" w:space="0" w:color="FFFFFF"/>
            </w:tcBorders>
            <w:shd w:val="clear" w:color="auto" w:fill="106CB5"/>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Year 3</w:t>
            </w:r>
          </w:p>
        </w:tc>
        <w:tc>
          <w:tcPr>
            <w:tcW w:w="497" w:type="pct"/>
            <w:tcBorders>
              <w:bottom w:val="single" w:sz="12" w:space="0" w:color="FFFFFF"/>
            </w:tcBorders>
            <w:shd w:val="clear" w:color="auto" w:fill="106CB5"/>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Year 4</w:t>
            </w:r>
          </w:p>
        </w:tc>
        <w:tc>
          <w:tcPr>
            <w:tcW w:w="497" w:type="pct"/>
            <w:tcBorders>
              <w:bottom w:val="single" w:sz="12" w:space="0" w:color="FFFFFF"/>
            </w:tcBorders>
            <w:shd w:val="clear" w:color="auto" w:fill="106CB5"/>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Year 5</w:t>
            </w:r>
          </w:p>
        </w:tc>
        <w:tc>
          <w:tcPr>
            <w:tcW w:w="498" w:type="pct"/>
            <w:tcBorders>
              <w:bottom w:val="single" w:sz="12" w:space="0" w:color="FFFFFF"/>
            </w:tcBorders>
            <w:shd w:val="clear" w:color="auto" w:fill="106CB5"/>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Year 6</w:t>
            </w:r>
          </w:p>
        </w:tc>
      </w:tr>
      <w:tr w:rsidR="003360A1" w:rsidTr="003360A1">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515" w:type="pct"/>
            <w:tcBorders>
              <w:top w:val="single" w:sz="12" w:space="0" w:color="FFFFFF"/>
              <w:bottom w:val="single" w:sz="2" w:space="0" w:color="106CB5"/>
            </w:tcBorders>
            <w:shd w:val="clear" w:color="auto" w:fill="FFFFFF"/>
            <w:noWrap/>
            <w:vAlign w:val="center"/>
          </w:tcPr>
          <w:p w:rsidR="002A03C0" w:rsidRDefault="004872F1">
            <w:pPr>
              <w:spacing w:before="40" w:after="40" w:line="240" w:lineRule="auto"/>
              <w:rPr>
                <w:rFonts w:cs="Times New Roman"/>
                <w:szCs w:val="22"/>
              </w:rPr>
            </w:pPr>
          </w:p>
        </w:tc>
        <w:tc>
          <w:tcPr>
            <w:tcW w:w="498"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498"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498" w:type="pct"/>
            <w:tcBorders>
              <w:top w:val="single" w:sz="12" w:space="0" w:color="FFFFFF"/>
              <w:bottom w:val="single" w:sz="2" w:space="0" w:color="106CB5"/>
            </w:tcBorders>
            <w:shd w:val="clear" w:color="auto" w:fill="FFFFFF"/>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499"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497" w:type="pct"/>
            <w:tcBorders>
              <w:top w:val="single" w:sz="12" w:space="0" w:color="FFFFFF"/>
              <w:bottom w:val="single" w:sz="2" w:space="0" w:color="106CB5"/>
            </w:tcBorders>
            <w:shd w:val="clear" w:color="auto" w:fill="FFFFFF"/>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497" w:type="pct"/>
            <w:tcBorders>
              <w:top w:val="single" w:sz="12" w:space="0" w:color="FFFFFF"/>
              <w:bottom w:val="single" w:sz="2" w:space="0" w:color="106CB5"/>
            </w:tcBorders>
            <w:shd w:val="clear" w:color="auto" w:fill="FFFFFF"/>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498" w:type="pct"/>
            <w:tcBorders>
              <w:top w:val="single" w:sz="12" w:space="0" w:color="FFFFFF"/>
              <w:bottom w:val="single" w:sz="2" w:space="0" w:color="106CB5"/>
            </w:tcBorders>
            <w:shd w:val="clear" w:color="auto" w:fill="FFFFFF"/>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r>
      <w:tr w:rsidR="003360A1" w:rsidTr="003360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15" w:type="pct"/>
            <w:tcBorders>
              <w:top w:val="single" w:sz="2" w:space="0" w:color="106CB5"/>
              <w:bottom w:val="single" w:sz="2" w:space="0" w:color="106CB5"/>
            </w:tcBorders>
            <w:shd w:val="clear" w:color="auto" w:fill="D9D9D9"/>
            <w:noWrap/>
            <w:vAlign w:val="center"/>
          </w:tcPr>
          <w:p w:rsidR="002A03C0" w:rsidRDefault="00B5111D">
            <w:pPr>
              <w:spacing w:before="40" w:after="40" w:line="240" w:lineRule="auto"/>
              <w:rPr>
                <w:rFonts w:cs="Times New Roman"/>
                <w:szCs w:val="22"/>
              </w:rPr>
            </w:pPr>
            <w:r>
              <w:rPr>
                <w:rFonts w:cs="Times New Roman"/>
                <w:szCs w:val="22"/>
              </w:rPr>
              <w:t>Attendance Rate (latest year)</w:t>
            </w:r>
          </w:p>
        </w:tc>
        <w:tc>
          <w:tcPr>
            <w:tcW w:w="498" w:type="pct"/>
            <w:tcBorders>
              <w:top w:val="single" w:sz="2" w:space="0" w:color="106CB5"/>
              <w:bottom w:val="single" w:sz="2" w:space="0" w:color="106CB5"/>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94</w:t>
            </w:r>
          </w:p>
        </w:tc>
        <w:tc>
          <w:tcPr>
            <w:tcW w:w="498" w:type="pct"/>
            <w:tcBorders>
              <w:top w:val="single" w:sz="2" w:space="0" w:color="106CB5"/>
              <w:bottom w:val="single" w:sz="2" w:space="0" w:color="106CB5"/>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93</w:t>
            </w:r>
          </w:p>
        </w:tc>
        <w:tc>
          <w:tcPr>
            <w:tcW w:w="498" w:type="pct"/>
            <w:tcBorders>
              <w:top w:val="single" w:sz="2" w:space="0" w:color="106CB5"/>
              <w:bottom w:val="single" w:sz="2" w:space="0" w:color="106CB5"/>
            </w:tcBorders>
            <w:shd w:val="clear" w:color="auto" w:fill="D9D9D9"/>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97</w:t>
            </w:r>
          </w:p>
        </w:tc>
        <w:tc>
          <w:tcPr>
            <w:tcW w:w="499" w:type="pct"/>
            <w:tcBorders>
              <w:top w:val="single" w:sz="2" w:space="0" w:color="106CB5"/>
              <w:bottom w:val="single" w:sz="2" w:space="0" w:color="106CB5"/>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91</w:t>
            </w:r>
          </w:p>
        </w:tc>
        <w:tc>
          <w:tcPr>
            <w:tcW w:w="497" w:type="pct"/>
            <w:tcBorders>
              <w:top w:val="single" w:sz="2" w:space="0" w:color="106CB5"/>
              <w:bottom w:val="single" w:sz="2" w:space="0" w:color="106CB5"/>
            </w:tcBorders>
            <w:shd w:val="clear" w:color="auto" w:fill="D9D9D9"/>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95</w:t>
            </w:r>
          </w:p>
        </w:tc>
        <w:tc>
          <w:tcPr>
            <w:tcW w:w="497" w:type="pct"/>
            <w:tcBorders>
              <w:top w:val="single" w:sz="2" w:space="0" w:color="106CB5"/>
              <w:bottom w:val="single" w:sz="2" w:space="0" w:color="106CB5"/>
            </w:tcBorders>
            <w:shd w:val="clear" w:color="auto" w:fill="D9D9D9"/>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93</w:t>
            </w:r>
          </w:p>
        </w:tc>
        <w:tc>
          <w:tcPr>
            <w:tcW w:w="498" w:type="pct"/>
            <w:tcBorders>
              <w:top w:val="single" w:sz="2" w:space="0" w:color="106CB5"/>
              <w:bottom w:val="single" w:sz="2" w:space="0" w:color="106CB5"/>
            </w:tcBorders>
            <w:shd w:val="clear" w:color="auto" w:fill="D9D9D9"/>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95</w:t>
            </w:r>
          </w:p>
        </w:tc>
      </w:tr>
    </w:tbl>
    <w:p w:rsidR="002A03C0" w:rsidRDefault="004872F1">
      <w:pPr>
        <w:pStyle w:val="ESBodyText"/>
      </w:pPr>
    </w:p>
    <w:p w:rsidR="002A03C0" w:rsidRDefault="00B5111D">
      <w:pPr>
        <w:pStyle w:val="ESHeading2"/>
        <w:rPr>
          <w:color w:val="00008B"/>
          <w:u w:val="single"/>
        </w:rPr>
      </w:pPr>
      <w:r>
        <w:rPr>
          <w:color w:val="00008B"/>
          <w:u w:val="single"/>
        </w:rPr>
        <w:t>WELLbeing</w:t>
      </w:r>
    </w:p>
    <w:p w:rsidR="002A03C0" w:rsidRDefault="00B5111D">
      <w:pPr>
        <w:pStyle w:val="ESBodyText"/>
        <w:rPr>
          <w:rFonts w:eastAsiaTheme="majorEastAsia" w:cstheme="majorBidi"/>
          <w:b/>
          <w:bCs/>
          <w:color w:val="00008B"/>
          <w:szCs w:val="20"/>
        </w:rPr>
      </w:pPr>
      <w:r>
        <w:rPr>
          <w:rFonts w:eastAsiaTheme="majorEastAsia" w:cstheme="majorBidi"/>
          <w:b/>
          <w:bCs/>
          <w:color w:val="00008B"/>
          <w:szCs w:val="20"/>
        </w:rPr>
        <w:t>Student Attitudes to School – Sense of Connectedness</w:t>
      </w:r>
    </w:p>
    <w:p w:rsidR="002A03C0" w:rsidRDefault="00B5111D">
      <w:pPr>
        <w:pStyle w:val="ESBodyText"/>
      </w:pPr>
      <w:r>
        <w:t>The percent endorsement on Sense of Connectedness factor, as reported in the Attitudes to School Survey completed annually by Victorian Government school students in year levels 4 to 6.</w:t>
      </w:r>
    </w:p>
    <w:p w:rsidR="002A03C0" w:rsidRDefault="00B5111D">
      <w:pPr>
        <w:pStyle w:val="ESBodyText"/>
      </w:pPr>
      <w:r>
        <w:t>Percent endorsement indicates the percent of positive responses (agree or strongly agree).</w:t>
      </w:r>
    </w:p>
    <w:tbl>
      <w:tblPr>
        <w:tblStyle w:val="GridTable2-Accent61"/>
        <w:tblW w:w="4843" w:type="pct"/>
        <w:jc w:val="center"/>
        <w:tblLook w:val="04A0" w:firstRow="1" w:lastRow="0" w:firstColumn="1" w:lastColumn="0" w:noHBand="0" w:noVBand="1"/>
        <w:tblCaption w:val="Attitude to schools survey - connectedness to schools"/>
      </w:tblPr>
      <w:tblGrid>
        <w:gridCol w:w="3816"/>
        <w:gridCol w:w="1307"/>
        <w:gridCol w:w="1308"/>
        <w:gridCol w:w="1308"/>
        <w:gridCol w:w="1383"/>
        <w:gridCol w:w="1306"/>
      </w:tblGrid>
      <w:tr w:rsidR="003360A1" w:rsidTr="003360A1">
        <w:trPr>
          <w:cnfStyle w:val="100000000000" w:firstRow="1" w:lastRow="0" w:firstColumn="0" w:lastColumn="0" w:oddVBand="0" w:evenVBand="0" w:oddHBand="0" w:evenHBand="0" w:firstRowFirstColumn="0" w:firstRowLastColumn="0" w:lastRowFirstColumn="0" w:lastRowLastColumn="0"/>
          <w:trHeight w:val="706"/>
          <w:tblHeader/>
          <w:jc w:val="center"/>
        </w:trPr>
        <w:tc>
          <w:tcPr>
            <w:cnfStyle w:val="001000000000" w:firstRow="0" w:lastRow="0" w:firstColumn="1" w:lastColumn="0" w:oddVBand="0" w:evenVBand="0" w:oddHBand="0" w:evenHBand="0" w:firstRowFirstColumn="0" w:firstRowLastColumn="0" w:lastRowFirstColumn="0" w:lastRowLastColumn="0"/>
            <w:tcW w:w="1830" w:type="pct"/>
            <w:tcBorders>
              <w:bottom w:val="single" w:sz="12" w:space="0" w:color="FFFFFF"/>
            </w:tcBorders>
            <w:shd w:val="clear" w:color="auto" w:fill="106CB5"/>
            <w:vAlign w:val="center"/>
            <w:hideMark/>
          </w:tcPr>
          <w:p w:rsidR="002A03C0" w:rsidRDefault="00B5111D">
            <w:pPr>
              <w:spacing w:before="40" w:after="40" w:line="240" w:lineRule="auto"/>
              <w:rPr>
                <w:rFonts w:cs="Times New Roman"/>
                <w:color w:val="FFFFFF"/>
                <w:szCs w:val="22"/>
              </w:rPr>
            </w:pPr>
            <w:r>
              <w:t xml:space="preserve"> </w:t>
            </w:r>
            <w:r>
              <w:rPr>
                <w:rFonts w:cs="Times New Roman"/>
                <w:color w:val="FFFFFF"/>
                <w:szCs w:val="22"/>
              </w:rPr>
              <w:t>Sense of Connectedness</w:t>
            </w:r>
          </w:p>
        </w:tc>
        <w:tc>
          <w:tcPr>
            <w:tcW w:w="627"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School</w:t>
            </w:r>
          </w:p>
        </w:tc>
        <w:tc>
          <w:tcPr>
            <w:tcW w:w="627"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State Median</w:t>
            </w:r>
          </w:p>
        </w:tc>
        <w:tc>
          <w:tcPr>
            <w:tcW w:w="627" w:type="pct"/>
            <w:tcBorders>
              <w:bottom w:val="single" w:sz="12" w:space="0" w:color="FFFFFF"/>
            </w:tcBorders>
            <w:shd w:val="clear" w:color="auto" w:fill="106CB5"/>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Middle 60 percent low</w:t>
            </w:r>
          </w:p>
        </w:tc>
        <w:tc>
          <w:tcPr>
            <w:tcW w:w="663"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Middle 60 percent high</w:t>
            </w:r>
          </w:p>
        </w:tc>
        <w:tc>
          <w:tcPr>
            <w:tcW w:w="626" w:type="pct"/>
            <w:tcBorders>
              <w:bottom w:val="single" w:sz="12" w:space="0" w:color="FFFFFF"/>
            </w:tcBorders>
            <w:shd w:val="clear" w:color="auto" w:fill="106CB5"/>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School Comparison</w:t>
            </w:r>
          </w:p>
        </w:tc>
      </w:tr>
      <w:tr w:rsidR="003360A1" w:rsidTr="003360A1">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830" w:type="pct"/>
            <w:tcBorders>
              <w:top w:val="single" w:sz="12" w:space="0" w:color="FFFFFF"/>
              <w:bottom w:val="single" w:sz="2" w:space="0" w:color="106CB5"/>
            </w:tcBorders>
            <w:shd w:val="clear" w:color="auto" w:fill="FFFFFF"/>
            <w:noWrap/>
            <w:vAlign w:val="center"/>
          </w:tcPr>
          <w:p w:rsidR="002A03C0" w:rsidRDefault="004872F1">
            <w:pPr>
              <w:spacing w:before="40" w:after="40" w:line="240" w:lineRule="auto"/>
              <w:rPr>
                <w:rFonts w:cs="Times New Roman"/>
                <w:szCs w:val="22"/>
              </w:rPr>
            </w:pPr>
          </w:p>
        </w:tc>
        <w:tc>
          <w:tcPr>
            <w:tcW w:w="627"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627"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627" w:type="pct"/>
            <w:tcBorders>
              <w:top w:val="single" w:sz="12" w:space="0" w:color="FFFFFF"/>
              <w:bottom w:val="single" w:sz="2" w:space="0" w:color="106CB5"/>
            </w:tcBorders>
            <w:shd w:val="clear" w:color="auto" w:fill="FFFFFF"/>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663"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626" w:type="pct"/>
            <w:tcBorders>
              <w:top w:val="single" w:sz="12" w:space="0" w:color="FFFFFF"/>
              <w:bottom w:val="single" w:sz="2" w:space="0" w:color="106CB5"/>
            </w:tcBorders>
            <w:shd w:val="clear" w:color="auto" w:fill="FFFFFF"/>
          </w:tcPr>
          <w:p w:rsidR="002A03C0" w:rsidRDefault="004872F1">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p>
        </w:tc>
      </w:tr>
      <w:tr w:rsidR="003360A1" w:rsidTr="003360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0" w:type="pct"/>
            <w:tcBorders>
              <w:top w:val="single" w:sz="2" w:space="0" w:color="106CB5"/>
              <w:bottom w:val="single" w:sz="2" w:space="0" w:color="126CB5"/>
            </w:tcBorders>
            <w:shd w:val="clear" w:color="auto" w:fill="D9D9D9" w:themeFill="background1" w:themeFillShade="D9"/>
            <w:noWrap/>
            <w:vAlign w:val="center"/>
          </w:tcPr>
          <w:p w:rsidR="002A03C0" w:rsidRDefault="00B5111D">
            <w:pPr>
              <w:spacing w:before="40" w:after="40" w:line="240" w:lineRule="auto"/>
              <w:rPr>
                <w:rFonts w:cs="Times New Roman"/>
                <w:szCs w:val="22"/>
              </w:rPr>
            </w:pPr>
            <w:r>
              <w:rPr>
                <w:rFonts w:cs="Times New Roman"/>
                <w:szCs w:val="22"/>
              </w:rPr>
              <w:t>Percent endorsement (latest year)</w:t>
            </w:r>
          </w:p>
        </w:tc>
        <w:tc>
          <w:tcPr>
            <w:tcW w:w="627" w:type="pct"/>
            <w:tcBorders>
              <w:top w:val="single" w:sz="2" w:space="0" w:color="106CB5"/>
              <w:bottom w:val="single" w:sz="2" w:space="0" w:color="126CB5"/>
            </w:tcBorders>
            <w:shd w:val="clear" w:color="auto" w:fill="D9D9D9" w:themeFill="background1" w:themeFillShade="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 xml:space="preserve"> 84.3</w:t>
            </w:r>
          </w:p>
        </w:tc>
        <w:tc>
          <w:tcPr>
            <w:tcW w:w="627" w:type="pct"/>
            <w:tcBorders>
              <w:top w:val="single" w:sz="2" w:space="0" w:color="106CB5"/>
              <w:bottom w:val="single" w:sz="2" w:space="0" w:color="126CB5"/>
            </w:tcBorders>
            <w:shd w:val="clear" w:color="auto" w:fill="D9D9D9" w:themeFill="background1" w:themeFillShade="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 xml:space="preserve"> 81.1</w:t>
            </w:r>
          </w:p>
        </w:tc>
        <w:tc>
          <w:tcPr>
            <w:tcW w:w="627" w:type="pct"/>
            <w:tcBorders>
              <w:top w:val="single" w:sz="2" w:space="0" w:color="106CB5"/>
              <w:bottom w:val="single" w:sz="2" w:space="0" w:color="126CB5"/>
            </w:tcBorders>
            <w:shd w:val="clear" w:color="auto" w:fill="D9D9D9" w:themeFill="background1" w:themeFillShade="D9"/>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 xml:space="preserve"> 72.6</w:t>
            </w:r>
          </w:p>
        </w:tc>
        <w:tc>
          <w:tcPr>
            <w:tcW w:w="663" w:type="pct"/>
            <w:tcBorders>
              <w:top w:val="single" w:sz="2" w:space="0" w:color="106CB5"/>
              <w:bottom w:val="single" w:sz="2" w:space="0" w:color="126CB5"/>
            </w:tcBorders>
            <w:shd w:val="clear" w:color="auto" w:fill="D9D9D9" w:themeFill="background1" w:themeFillShade="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 xml:space="preserve"> 89.0</w:t>
            </w:r>
          </w:p>
        </w:tc>
        <w:tc>
          <w:tcPr>
            <w:tcW w:w="626" w:type="pct"/>
            <w:tcBorders>
              <w:top w:val="single" w:sz="2" w:space="0" w:color="106CB5"/>
              <w:bottom w:val="single" w:sz="2" w:space="0" w:color="126CB5"/>
            </w:tcBorders>
            <w:shd w:val="clear" w:color="auto" w:fill="D9D9D9" w:themeFill="background1" w:themeFillShade="D9"/>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Similar</w:t>
            </w:r>
          </w:p>
        </w:tc>
      </w:tr>
      <w:tr w:rsidR="003360A1" w:rsidTr="003360A1">
        <w:trPr>
          <w:jc w:val="center"/>
        </w:trPr>
        <w:tc>
          <w:tcPr>
            <w:cnfStyle w:val="001000000000" w:firstRow="0" w:lastRow="0" w:firstColumn="1" w:lastColumn="0" w:oddVBand="0" w:evenVBand="0" w:oddHBand="0" w:evenHBand="0" w:firstRowFirstColumn="0" w:firstRowLastColumn="0" w:lastRowFirstColumn="0" w:lastRowLastColumn="0"/>
            <w:tcW w:w="1830" w:type="pct"/>
            <w:tcBorders>
              <w:top w:val="single" w:sz="2" w:space="0" w:color="126CB5"/>
              <w:bottom w:val="single" w:sz="2" w:space="0" w:color="106CB5"/>
            </w:tcBorders>
            <w:shd w:val="clear" w:color="auto" w:fill="FFFFFF" w:themeFill="background1"/>
            <w:noWrap/>
            <w:vAlign w:val="center"/>
          </w:tcPr>
          <w:p w:rsidR="002A03C0" w:rsidRDefault="00B5111D">
            <w:pPr>
              <w:spacing w:before="40" w:after="40" w:line="240" w:lineRule="auto"/>
              <w:rPr>
                <w:rFonts w:cs="Times New Roman"/>
                <w:szCs w:val="22"/>
              </w:rPr>
            </w:pPr>
            <w:r>
              <w:rPr>
                <w:rFonts w:cs="Times New Roman"/>
                <w:szCs w:val="22"/>
              </w:rPr>
              <w:t>Percent endorsement (2 year average)</w:t>
            </w:r>
          </w:p>
        </w:tc>
        <w:tc>
          <w:tcPr>
            <w:tcW w:w="627" w:type="pct"/>
            <w:tcBorders>
              <w:top w:val="single" w:sz="2" w:space="0" w:color="126CB5"/>
              <w:bottom w:val="single" w:sz="2" w:space="0" w:color="106CB5"/>
            </w:tcBorders>
            <w:shd w:val="clear" w:color="auto" w:fill="FFFFFF" w:themeFill="background1"/>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 xml:space="preserve"> 81.0</w:t>
            </w:r>
          </w:p>
        </w:tc>
        <w:tc>
          <w:tcPr>
            <w:tcW w:w="627" w:type="pct"/>
            <w:tcBorders>
              <w:top w:val="single" w:sz="2" w:space="0" w:color="126CB5"/>
              <w:bottom w:val="single" w:sz="2" w:space="0" w:color="106CB5"/>
            </w:tcBorders>
            <w:shd w:val="clear" w:color="auto" w:fill="FFFFFF" w:themeFill="background1"/>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 xml:space="preserve"> 81.7</w:t>
            </w:r>
          </w:p>
        </w:tc>
        <w:tc>
          <w:tcPr>
            <w:tcW w:w="627" w:type="pct"/>
            <w:tcBorders>
              <w:top w:val="single" w:sz="2" w:space="0" w:color="126CB5"/>
              <w:bottom w:val="single" w:sz="2" w:space="0" w:color="106CB5"/>
            </w:tcBorders>
            <w:shd w:val="clear" w:color="auto" w:fill="FFFFFF" w:themeFill="background1"/>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 xml:space="preserve"> 73.8</w:t>
            </w:r>
          </w:p>
        </w:tc>
        <w:tc>
          <w:tcPr>
            <w:tcW w:w="663" w:type="pct"/>
            <w:tcBorders>
              <w:top w:val="single" w:sz="2" w:space="0" w:color="126CB5"/>
              <w:bottom w:val="single" w:sz="2" w:space="0" w:color="106CB5"/>
            </w:tcBorders>
            <w:shd w:val="clear" w:color="auto" w:fill="FFFFFF" w:themeFill="background1"/>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 xml:space="preserve"> 88.7</w:t>
            </w:r>
          </w:p>
        </w:tc>
        <w:tc>
          <w:tcPr>
            <w:tcW w:w="626" w:type="pct"/>
            <w:tcBorders>
              <w:top w:val="single" w:sz="2" w:space="0" w:color="126CB5"/>
              <w:bottom w:val="single" w:sz="2" w:space="0" w:color="106CB5"/>
            </w:tcBorders>
            <w:shd w:val="clear" w:color="auto" w:fill="FFFFFF" w:themeFill="background1"/>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Similar</w:t>
            </w:r>
          </w:p>
        </w:tc>
      </w:tr>
    </w:tbl>
    <w:p w:rsidR="002A03C0" w:rsidRDefault="00B5111D">
      <w:pPr>
        <w:spacing w:after="0" w:line="240" w:lineRule="auto"/>
      </w:pPr>
      <w:r>
        <w:br w:type="page"/>
      </w:r>
    </w:p>
    <w:p w:rsidR="002A03C0" w:rsidRDefault="004872F1">
      <w:pPr>
        <w:pStyle w:val="ESBodyText"/>
        <w:rPr>
          <w:rFonts w:eastAsiaTheme="majorEastAsia" w:cstheme="majorBidi"/>
          <w:bCs/>
          <w:szCs w:val="20"/>
        </w:rPr>
      </w:pPr>
    </w:p>
    <w:p w:rsidR="002A03C0" w:rsidRDefault="00B5111D">
      <w:pPr>
        <w:pStyle w:val="ESBodyText"/>
        <w:rPr>
          <w:rFonts w:eastAsiaTheme="majorEastAsia" w:cstheme="majorBidi"/>
          <w:b/>
          <w:bCs/>
          <w:color w:val="00008B"/>
          <w:szCs w:val="20"/>
        </w:rPr>
      </w:pPr>
      <w:r>
        <w:rPr>
          <w:rFonts w:eastAsiaTheme="majorEastAsia" w:cstheme="majorBidi"/>
          <w:b/>
          <w:bCs/>
          <w:color w:val="00008B"/>
          <w:szCs w:val="20"/>
        </w:rPr>
        <w:t>Student Attitudes to School – Management of Bullying</w:t>
      </w:r>
    </w:p>
    <w:p w:rsidR="002A03C0" w:rsidRDefault="00B5111D">
      <w:pPr>
        <w:pStyle w:val="ESBodyText"/>
        <w:rPr>
          <w:rFonts w:eastAsiaTheme="majorEastAsia" w:cstheme="majorBidi"/>
          <w:bCs/>
          <w:szCs w:val="20"/>
        </w:rPr>
      </w:pPr>
      <w:r>
        <w:t>The percent endorsement on Management of Bullying factor, as reported in the Attitudes to School Survey completed annually by Victorian Government school students in year levels 4 to 6.</w:t>
      </w:r>
    </w:p>
    <w:p w:rsidR="002A03C0" w:rsidRDefault="00B5111D">
      <w:pPr>
        <w:pStyle w:val="ESBodyText"/>
      </w:pPr>
      <w:r>
        <w:t>Percent endorsement indicates the percent of positive responses (agree or strongly agree).</w:t>
      </w:r>
    </w:p>
    <w:tbl>
      <w:tblPr>
        <w:tblStyle w:val="GridTable2-Accent61"/>
        <w:tblW w:w="4843" w:type="pct"/>
        <w:jc w:val="center"/>
        <w:tblLook w:val="04A0" w:firstRow="1" w:lastRow="0" w:firstColumn="1" w:lastColumn="0" w:noHBand="0" w:noVBand="1"/>
        <w:tblCaption w:val="Attitude to schools survey - student perception of safety"/>
      </w:tblPr>
      <w:tblGrid>
        <w:gridCol w:w="3800"/>
        <w:gridCol w:w="1293"/>
        <w:gridCol w:w="1293"/>
        <w:gridCol w:w="1293"/>
        <w:gridCol w:w="1460"/>
        <w:gridCol w:w="1289"/>
      </w:tblGrid>
      <w:tr w:rsidR="003360A1" w:rsidTr="003360A1">
        <w:trPr>
          <w:cnfStyle w:val="100000000000" w:firstRow="1" w:lastRow="0" w:firstColumn="0" w:lastColumn="0" w:oddVBand="0" w:evenVBand="0" w:oddHBand="0" w:evenHBand="0" w:firstRowFirstColumn="0" w:firstRowLastColumn="0" w:lastRowFirstColumn="0" w:lastRowLastColumn="0"/>
          <w:trHeight w:val="661"/>
          <w:tblHeader/>
          <w:jc w:val="center"/>
        </w:trPr>
        <w:tc>
          <w:tcPr>
            <w:cnfStyle w:val="001000000000" w:firstRow="0" w:lastRow="0" w:firstColumn="1" w:lastColumn="0" w:oddVBand="0" w:evenVBand="0" w:oddHBand="0" w:evenHBand="0" w:firstRowFirstColumn="0" w:firstRowLastColumn="0" w:lastRowFirstColumn="0" w:lastRowLastColumn="0"/>
            <w:tcW w:w="1822" w:type="pct"/>
            <w:tcBorders>
              <w:bottom w:val="single" w:sz="12" w:space="0" w:color="FFFFFF"/>
            </w:tcBorders>
            <w:shd w:val="clear" w:color="auto" w:fill="106CB5"/>
            <w:vAlign w:val="center"/>
            <w:hideMark/>
          </w:tcPr>
          <w:p w:rsidR="002A03C0" w:rsidRDefault="00B5111D">
            <w:pPr>
              <w:spacing w:before="40" w:after="40" w:line="240" w:lineRule="auto"/>
              <w:rPr>
                <w:rFonts w:cs="Times New Roman"/>
                <w:color w:val="FFFFFF"/>
                <w:szCs w:val="22"/>
              </w:rPr>
            </w:pPr>
            <w:r>
              <w:t xml:space="preserve"> </w:t>
            </w:r>
            <w:r>
              <w:rPr>
                <w:rFonts w:cs="Times New Roman"/>
                <w:color w:val="FFFFFF"/>
                <w:szCs w:val="22"/>
              </w:rPr>
              <w:t>Management of Bullying</w:t>
            </w:r>
          </w:p>
        </w:tc>
        <w:tc>
          <w:tcPr>
            <w:tcW w:w="620"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School</w:t>
            </w:r>
          </w:p>
        </w:tc>
        <w:tc>
          <w:tcPr>
            <w:tcW w:w="620"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color w:val="FFFFFF"/>
                <w:szCs w:val="22"/>
              </w:rPr>
              <w:t>State Median</w:t>
            </w:r>
          </w:p>
        </w:tc>
        <w:tc>
          <w:tcPr>
            <w:tcW w:w="620" w:type="pct"/>
            <w:tcBorders>
              <w:bottom w:val="single" w:sz="12" w:space="0" w:color="FFFFFF"/>
            </w:tcBorders>
            <w:shd w:val="clear" w:color="auto" w:fill="106CB5"/>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Middle 60 percent low</w:t>
            </w:r>
          </w:p>
        </w:tc>
        <w:tc>
          <w:tcPr>
            <w:tcW w:w="700" w:type="pct"/>
            <w:tcBorders>
              <w:bottom w:val="single" w:sz="12" w:space="0" w:color="FFFFFF"/>
            </w:tcBorders>
            <w:shd w:val="clear" w:color="auto" w:fill="106CB5"/>
            <w:vAlign w:val="center"/>
            <w:hideMark/>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Middle 60 percent high</w:t>
            </w:r>
          </w:p>
        </w:tc>
        <w:tc>
          <w:tcPr>
            <w:tcW w:w="618" w:type="pct"/>
            <w:tcBorders>
              <w:bottom w:val="single" w:sz="12" w:space="0" w:color="FFFFFF"/>
            </w:tcBorders>
            <w:shd w:val="clear" w:color="auto" w:fill="106CB5"/>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color w:val="FFFFFF"/>
                <w:szCs w:val="22"/>
              </w:rPr>
            </w:pPr>
            <w:r>
              <w:rPr>
                <w:rFonts w:cs="Times New Roman"/>
                <w:bCs w:val="0"/>
                <w:color w:val="FFFFFF"/>
                <w:szCs w:val="22"/>
              </w:rPr>
              <w:t>School Comparison</w:t>
            </w:r>
          </w:p>
        </w:tc>
      </w:tr>
      <w:tr w:rsidR="003360A1" w:rsidTr="003360A1">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822" w:type="pct"/>
            <w:tcBorders>
              <w:top w:val="single" w:sz="12" w:space="0" w:color="FFFFFF"/>
              <w:bottom w:val="single" w:sz="2" w:space="0" w:color="106CB5"/>
            </w:tcBorders>
            <w:shd w:val="clear" w:color="auto" w:fill="FFFFFF"/>
            <w:noWrap/>
            <w:vAlign w:val="center"/>
          </w:tcPr>
          <w:p w:rsidR="002A03C0" w:rsidRDefault="004872F1">
            <w:pPr>
              <w:spacing w:before="40" w:after="40" w:line="240" w:lineRule="auto"/>
              <w:rPr>
                <w:rFonts w:cs="Times New Roman"/>
                <w:szCs w:val="22"/>
              </w:rPr>
            </w:pPr>
          </w:p>
        </w:tc>
        <w:tc>
          <w:tcPr>
            <w:tcW w:w="620"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620"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620" w:type="pct"/>
            <w:tcBorders>
              <w:top w:val="single" w:sz="12" w:space="0" w:color="FFFFFF"/>
              <w:bottom w:val="single" w:sz="2" w:space="0" w:color="106CB5"/>
            </w:tcBorders>
            <w:shd w:val="clear" w:color="auto" w:fill="FFFFFF"/>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700" w:type="pct"/>
            <w:tcBorders>
              <w:top w:val="single" w:sz="12" w:space="0" w:color="FFFFFF"/>
              <w:bottom w:val="single" w:sz="2" w:space="0" w:color="106CB5"/>
            </w:tcBorders>
            <w:shd w:val="clear" w:color="auto" w:fill="FFFFFF"/>
            <w:noWrap/>
            <w:vAlign w:val="center"/>
          </w:tcPr>
          <w:p w:rsidR="002A03C0" w:rsidRDefault="00B5111D">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r>
              <w:rPr>
                <w:rFonts w:cs="Times New Roman"/>
                <w:szCs w:val="22"/>
              </w:rPr>
              <w:t>Percent</w:t>
            </w:r>
          </w:p>
        </w:tc>
        <w:tc>
          <w:tcPr>
            <w:tcW w:w="618" w:type="pct"/>
            <w:tcBorders>
              <w:top w:val="single" w:sz="12" w:space="0" w:color="FFFFFF"/>
              <w:bottom w:val="single" w:sz="2" w:space="0" w:color="106CB5"/>
            </w:tcBorders>
            <w:shd w:val="clear" w:color="auto" w:fill="FFFFFF"/>
          </w:tcPr>
          <w:p w:rsidR="002A03C0" w:rsidRDefault="004872F1">
            <w:pPr>
              <w:spacing w:before="40" w:after="40" w:line="240" w:lineRule="auto"/>
              <w:jc w:val="center"/>
              <w:cnfStyle w:val="100000000000" w:firstRow="1" w:lastRow="0" w:firstColumn="0" w:lastColumn="0" w:oddVBand="0" w:evenVBand="0" w:oddHBand="0" w:evenHBand="0" w:firstRowFirstColumn="0" w:firstRowLastColumn="0" w:lastRowFirstColumn="0" w:lastRowLastColumn="0"/>
              <w:rPr>
                <w:rFonts w:cs="Times New Roman"/>
                <w:szCs w:val="22"/>
              </w:rPr>
            </w:pPr>
          </w:p>
        </w:tc>
      </w:tr>
      <w:tr w:rsidR="003360A1" w:rsidTr="003360A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22" w:type="pct"/>
            <w:tcBorders>
              <w:top w:val="single" w:sz="2" w:space="0" w:color="106CB5"/>
              <w:bottom w:val="single" w:sz="2" w:space="0" w:color="106CB5"/>
            </w:tcBorders>
            <w:shd w:val="clear" w:color="auto" w:fill="D9D9D9" w:themeFill="background1" w:themeFillShade="D9"/>
            <w:noWrap/>
            <w:vAlign w:val="center"/>
          </w:tcPr>
          <w:p w:rsidR="002A03C0" w:rsidRDefault="00B5111D">
            <w:pPr>
              <w:spacing w:before="40" w:after="40" w:line="240" w:lineRule="auto"/>
              <w:rPr>
                <w:rFonts w:cs="Times New Roman"/>
                <w:szCs w:val="22"/>
              </w:rPr>
            </w:pPr>
            <w:r>
              <w:rPr>
                <w:rFonts w:cs="Times New Roman"/>
                <w:szCs w:val="22"/>
              </w:rPr>
              <w:t>Percent endorsement (latest year)</w:t>
            </w:r>
          </w:p>
        </w:tc>
        <w:tc>
          <w:tcPr>
            <w:tcW w:w="620" w:type="pct"/>
            <w:tcBorders>
              <w:top w:val="single" w:sz="2" w:space="0" w:color="106CB5"/>
              <w:bottom w:val="single" w:sz="2" w:space="0" w:color="106CB5"/>
            </w:tcBorders>
            <w:shd w:val="clear" w:color="auto" w:fill="D9D9D9" w:themeFill="background1" w:themeFillShade="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 xml:space="preserve"> 88.1</w:t>
            </w:r>
          </w:p>
        </w:tc>
        <w:tc>
          <w:tcPr>
            <w:tcW w:w="620" w:type="pct"/>
            <w:tcBorders>
              <w:top w:val="single" w:sz="2" w:space="0" w:color="106CB5"/>
              <w:bottom w:val="single" w:sz="2" w:space="0" w:color="106CB5"/>
            </w:tcBorders>
            <w:shd w:val="clear" w:color="auto" w:fill="D9D9D9" w:themeFill="background1" w:themeFillShade="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 xml:space="preserve"> 81.2</w:t>
            </w:r>
          </w:p>
        </w:tc>
        <w:tc>
          <w:tcPr>
            <w:tcW w:w="620" w:type="pct"/>
            <w:tcBorders>
              <w:top w:val="single" w:sz="2" w:space="0" w:color="106CB5"/>
              <w:bottom w:val="single" w:sz="2" w:space="0" w:color="106CB5"/>
            </w:tcBorders>
            <w:shd w:val="clear" w:color="auto" w:fill="D9D9D9" w:themeFill="background1" w:themeFillShade="D9"/>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 xml:space="preserve"> 72.2</w:t>
            </w:r>
          </w:p>
        </w:tc>
        <w:tc>
          <w:tcPr>
            <w:tcW w:w="700" w:type="pct"/>
            <w:tcBorders>
              <w:top w:val="single" w:sz="2" w:space="0" w:color="106CB5"/>
              <w:bottom w:val="single" w:sz="2" w:space="0" w:color="106CB5"/>
            </w:tcBorders>
            <w:shd w:val="clear" w:color="auto" w:fill="D9D9D9" w:themeFill="background1" w:themeFillShade="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 xml:space="preserve"> 90.3</w:t>
            </w:r>
          </w:p>
        </w:tc>
        <w:tc>
          <w:tcPr>
            <w:tcW w:w="618" w:type="pct"/>
            <w:tcBorders>
              <w:top w:val="single" w:sz="2" w:space="0" w:color="106CB5"/>
              <w:bottom w:val="single" w:sz="2" w:space="0" w:color="106CB5"/>
            </w:tcBorders>
            <w:shd w:val="clear" w:color="auto" w:fill="D9D9D9" w:themeFill="background1" w:themeFillShade="D9"/>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Similar</w:t>
            </w:r>
          </w:p>
        </w:tc>
      </w:tr>
      <w:tr w:rsidR="003360A1" w:rsidTr="003360A1">
        <w:tblPrEx>
          <w:jc w:val="left"/>
        </w:tblPrEx>
        <w:tc>
          <w:tcPr>
            <w:cnfStyle w:val="001000000000" w:firstRow="0" w:lastRow="0" w:firstColumn="1" w:lastColumn="0" w:oddVBand="0" w:evenVBand="0" w:oddHBand="0" w:evenHBand="0" w:firstRowFirstColumn="0" w:firstRowLastColumn="0" w:lastRowFirstColumn="0" w:lastRowLastColumn="0"/>
            <w:tcW w:w="1822" w:type="pct"/>
            <w:tcBorders>
              <w:top w:val="single" w:sz="2" w:space="0" w:color="106CB5"/>
              <w:bottom w:val="single" w:sz="2" w:space="0" w:color="106CB5"/>
            </w:tcBorders>
            <w:noWrap/>
          </w:tcPr>
          <w:p w:rsidR="002A03C0" w:rsidRDefault="00B5111D">
            <w:pPr>
              <w:spacing w:before="40" w:after="40" w:line="240" w:lineRule="auto"/>
              <w:rPr>
                <w:rFonts w:cs="Times New Roman"/>
                <w:szCs w:val="22"/>
              </w:rPr>
            </w:pPr>
            <w:r>
              <w:rPr>
                <w:rFonts w:cs="Times New Roman"/>
                <w:szCs w:val="22"/>
              </w:rPr>
              <w:t>Percent endorsement (2 year average)</w:t>
            </w:r>
          </w:p>
        </w:tc>
        <w:tc>
          <w:tcPr>
            <w:tcW w:w="620" w:type="pct"/>
            <w:tcBorders>
              <w:top w:val="single" w:sz="2" w:space="0" w:color="106CB5"/>
              <w:bottom w:val="single" w:sz="2" w:space="0" w:color="106CB5"/>
            </w:tcBorders>
            <w:noWrap/>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 xml:space="preserve"> 89.7</w:t>
            </w:r>
          </w:p>
        </w:tc>
        <w:tc>
          <w:tcPr>
            <w:tcW w:w="620" w:type="pct"/>
            <w:tcBorders>
              <w:top w:val="single" w:sz="2" w:space="0" w:color="106CB5"/>
              <w:bottom w:val="single" w:sz="2" w:space="0" w:color="106CB5"/>
            </w:tcBorders>
            <w:noWrap/>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 xml:space="preserve"> 81.8</w:t>
            </w:r>
          </w:p>
        </w:tc>
        <w:tc>
          <w:tcPr>
            <w:tcW w:w="620" w:type="pct"/>
            <w:tcBorders>
              <w:top w:val="single" w:sz="2" w:space="0" w:color="106CB5"/>
              <w:bottom w:val="single" w:sz="2" w:space="0" w:color="106CB5"/>
            </w:tcBorders>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 xml:space="preserve"> 73.7</w:t>
            </w:r>
          </w:p>
        </w:tc>
        <w:tc>
          <w:tcPr>
            <w:tcW w:w="700" w:type="pct"/>
            <w:tcBorders>
              <w:top w:val="single" w:sz="2" w:space="0" w:color="106CB5"/>
              <w:bottom w:val="single" w:sz="2" w:space="0" w:color="106CB5"/>
            </w:tcBorders>
            <w:noWrap/>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 xml:space="preserve"> 89.7</w:t>
            </w:r>
          </w:p>
        </w:tc>
        <w:tc>
          <w:tcPr>
            <w:tcW w:w="618" w:type="pct"/>
            <w:tcBorders>
              <w:top w:val="single" w:sz="2" w:space="0" w:color="106CB5"/>
              <w:bottom w:val="single" w:sz="2" w:space="0" w:color="106CB5"/>
            </w:tcBorders>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Similar</w:t>
            </w:r>
          </w:p>
        </w:tc>
      </w:tr>
    </w:tbl>
    <w:p w:rsidR="002A03C0" w:rsidRDefault="004872F1">
      <w:pPr>
        <w:spacing w:after="0" w:line="240" w:lineRule="auto"/>
      </w:pPr>
    </w:p>
    <w:p w:rsidR="002A03C0" w:rsidRDefault="00B5111D">
      <w:pPr>
        <w:spacing w:after="0" w:line="240" w:lineRule="auto"/>
      </w:pPr>
      <w:r>
        <w:br w:type="page"/>
      </w:r>
    </w:p>
    <w:p w:rsidR="002A03C0" w:rsidRDefault="00B5111D">
      <w:pPr>
        <w:spacing w:after="0" w:line="240" w:lineRule="auto"/>
        <w:jc w:val="center"/>
        <w:rPr>
          <w:rFonts w:eastAsia="MS Gothic" w:cs="Times New Roman"/>
          <w:b/>
          <w:spacing w:val="5"/>
          <w:kern w:val="28"/>
          <w:sz w:val="44"/>
          <w:szCs w:val="52"/>
        </w:rPr>
      </w:pPr>
      <w:r>
        <w:rPr>
          <w:rFonts w:eastAsia="MS Gothic" w:cs="Times New Roman"/>
          <w:b/>
          <w:spacing w:val="5"/>
          <w:kern w:val="28"/>
          <w:sz w:val="44"/>
          <w:szCs w:val="52"/>
        </w:rPr>
        <w:lastRenderedPageBreak/>
        <w:t>Financial Performance and Position</w:t>
      </w:r>
    </w:p>
    <w:p w:rsidR="002A03C0" w:rsidRDefault="00B5111D">
      <w:pPr>
        <w:keepNext/>
        <w:keepLines/>
        <w:spacing w:before="360"/>
        <w:outlineLvl w:val="0"/>
        <w:rPr>
          <w:rFonts w:eastAsia="MS Gothic" w:cs="Times New Roman"/>
          <w:b/>
          <w:bCs/>
          <w:caps/>
          <w:color w:val="00008B"/>
          <w:sz w:val="20"/>
          <w:szCs w:val="20"/>
          <w:u w:val="single"/>
        </w:rPr>
      </w:pPr>
      <w:r>
        <w:rPr>
          <w:rFonts w:eastAsia="MS Gothic" w:cs="Times New Roman"/>
          <w:b/>
          <w:bCs/>
          <w:caps/>
          <w:color w:val="00008B"/>
          <w:sz w:val="20"/>
          <w:szCs w:val="20"/>
          <w:u w:val="single"/>
        </w:rPr>
        <w:t>Financial Performance - Operating Statement Summary for the year ending 31 December, 2018</w:t>
      </w:r>
    </w:p>
    <w:tbl>
      <w:tblPr>
        <w:tblStyle w:val="GridTable2-Accent6121"/>
        <w:tblW w:w="2876" w:type="pct"/>
        <w:jc w:val="center"/>
        <w:tblLook w:val="04A0" w:firstRow="1" w:lastRow="0" w:firstColumn="1" w:lastColumn="0" w:noHBand="0" w:noVBand="1"/>
        <w:tblCaption w:val="FInance - Revenue Table"/>
      </w:tblPr>
      <w:tblGrid>
        <w:gridCol w:w="4428"/>
        <w:gridCol w:w="1765"/>
      </w:tblGrid>
      <w:tr w:rsidR="003360A1" w:rsidTr="003360A1">
        <w:trPr>
          <w:cnfStyle w:val="100000000000" w:firstRow="1" w:lastRow="0" w:firstColumn="0" w:lastColumn="0" w:oddVBand="0" w:evenVBand="0" w:oddHBand="0" w:evenHBand="0" w:firstRowFirstColumn="0" w:firstRowLastColumn="0" w:lastRowFirstColumn="0" w:lastRowLastColumn="0"/>
          <w:trHeight w:hRule="exact" w:val="454"/>
          <w:tblHeader/>
          <w:jc w:val="center"/>
        </w:trPr>
        <w:tc>
          <w:tcPr>
            <w:cnfStyle w:val="001000000000" w:firstRow="0" w:lastRow="0" w:firstColumn="1" w:lastColumn="0" w:oddVBand="0" w:evenVBand="0" w:oddHBand="0" w:evenHBand="0" w:firstRowFirstColumn="0" w:firstRowLastColumn="0" w:lastRowFirstColumn="0" w:lastRowLastColumn="0"/>
            <w:tcW w:w="3575" w:type="pct"/>
            <w:shd w:val="clear" w:color="auto" w:fill="106CB5"/>
            <w:vAlign w:val="center"/>
            <w:hideMark/>
          </w:tcPr>
          <w:p w:rsidR="002A03C0" w:rsidRDefault="00B5111D">
            <w:pPr>
              <w:spacing w:before="40" w:after="40" w:line="240" w:lineRule="auto"/>
              <w:rPr>
                <w:rFonts w:eastAsia="MS Mincho" w:cs="Times New Roman"/>
                <w:color w:val="FFFFFF"/>
                <w:szCs w:val="22"/>
              </w:rPr>
            </w:pPr>
            <w:r>
              <w:rPr>
                <w:rFonts w:eastAsia="MS Mincho" w:cs="Times New Roman"/>
                <w:b w:val="0"/>
                <w:color w:val="FFFFFF"/>
                <w:szCs w:val="22"/>
              </w:rPr>
              <w:t>Revenue</w:t>
            </w:r>
          </w:p>
        </w:tc>
        <w:tc>
          <w:tcPr>
            <w:tcW w:w="1425" w:type="pct"/>
            <w:shd w:val="clear" w:color="auto" w:fill="106CB5"/>
            <w:vAlign w:val="center"/>
            <w:hideMark/>
          </w:tcPr>
          <w:p w:rsidR="002A03C0" w:rsidRDefault="00B5111D">
            <w:pPr>
              <w:spacing w:before="40" w:after="40" w:line="240" w:lineRule="auto"/>
              <w:jc w:val="right"/>
              <w:cnfStyle w:val="100000000000" w:firstRow="1" w:lastRow="0" w:firstColumn="0" w:lastColumn="0" w:oddVBand="0" w:evenVBand="0" w:oddHBand="0" w:evenHBand="0" w:firstRowFirstColumn="0" w:firstRowLastColumn="0" w:lastRowFirstColumn="0" w:lastRowLastColumn="0"/>
              <w:rPr>
                <w:rFonts w:eastAsia="MS Mincho" w:cs="Times New Roman"/>
                <w:color w:val="FFFFFF"/>
                <w:szCs w:val="22"/>
              </w:rPr>
            </w:pPr>
            <w:r>
              <w:rPr>
                <w:rFonts w:eastAsia="MS Mincho" w:cs="Times New Roman"/>
                <w:b w:val="0"/>
                <w:color w:val="FFFFFF"/>
                <w:szCs w:val="22"/>
              </w:rPr>
              <w:t>Actual</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575" w:type="pct"/>
            <w:tcBorders>
              <w:top w:val="single" w:sz="12" w:space="0" w:color="FFFFFF"/>
              <w:bottom w:val="nil"/>
              <w:right w:val="single" w:sz="4" w:space="0" w:color="FFFFFF"/>
            </w:tcBorders>
            <w:shd w:val="clear" w:color="auto" w:fill="D9D9D9"/>
            <w:noWrap/>
            <w:vAlign w:val="center"/>
            <w:hideMark/>
          </w:tcPr>
          <w:p w:rsidR="002A03C0" w:rsidRDefault="00B5111D">
            <w:pPr>
              <w:spacing w:before="40" w:after="40" w:line="240" w:lineRule="auto"/>
              <w:rPr>
                <w:rFonts w:eastAsia="MS Mincho" w:cs="Times New Roman"/>
                <w:szCs w:val="22"/>
              </w:rPr>
            </w:pPr>
            <w:r>
              <w:rPr>
                <w:rFonts w:eastAsia="MS Mincho" w:cs="Times New Roman"/>
                <w:b w:val="0"/>
                <w:szCs w:val="22"/>
              </w:rPr>
              <w:t>Student Resource Package</w:t>
            </w:r>
          </w:p>
        </w:tc>
        <w:tc>
          <w:tcPr>
            <w:tcW w:w="1425" w:type="pct"/>
            <w:tcBorders>
              <w:top w:val="single" w:sz="12" w:space="0" w:color="FFFFFF"/>
              <w:left w:val="single" w:sz="4" w:space="0" w:color="FFFFFF"/>
              <w:bottom w:val="nil"/>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$543,367</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575" w:type="pct"/>
            <w:tcBorders>
              <w:top w:val="nil"/>
              <w:bottom w:val="nil"/>
              <w:right w:val="single" w:sz="4" w:space="0" w:color="FFFFFF"/>
            </w:tcBorders>
            <w:noWrap/>
            <w:vAlign w:val="center"/>
            <w:hideMark/>
          </w:tcPr>
          <w:p w:rsidR="002A03C0" w:rsidRDefault="00B5111D">
            <w:pPr>
              <w:spacing w:before="40" w:after="40" w:line="240" w:lineRule="auto"/>
              <w:rPr>
                <w:rFonts w:eastAsia="MS Mincho" w:cs="Times New Roman"/>
                <w:szCs w:val="22"/>
              </w:rPr>
            </w:pPr>
            <w:r>
              <w:rPr>
                <w:rFonts w:eastAsia="MS Mincho" w:cs="Times New Roman"/>
                <w:b w:val="0"/>
                <w:szCs w:val="22"/>
              </w:rPr>
              <w:t>Government Provided DET Grants</w:t>
            </w:r>
          </w:p>
        </w:tc>
        <w:tc>
          <w:tcPr>
            <w:tcW w:w="1425" w:type="pct"/>
            <w:tcBorders>
              <w:top w:val="nil"/>
              <w:left w:val="single" w:sz="4" w:space="0" w:color="FFFFFF"/>
              <w:bottom w:val="nil"/>
            </w:tcBorders>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$94,962</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575" w:type="pct"/>
            <w:tcBorders>
              <w:top w:val="nil"/>
              <w:bottom w:val="nil"/>
              <w:right w:val="single" w:sz="4" w:space="0" w:color="FFFFFF"/>
            </w:tcBorders>
            <w:shd w:val="clear" w:color="auto" w:fill="D9D9D9"/>
            <w:noWrap/>
            <w:vAlign w:val="center"/>
            <w:hideMark/>
          </w:tcPr>
          <w:p w:rsidR="002A03C0" w:rsidRDefault="00B5111D">
            <w:pPr>
              <w:spacing w:before="40" w:after="40" w:line="240" w:lineRule="auto"/>
              <w:rPr>
                <w:rFonts w:eastAsia="MS Mincho" w:cs="Times New Roman"/>
                <w:szCs w:val="22"/>
              </w:rPr>
            </w:pPr>
            <w:r>
              <w:rPr>
                <w:rFonts w:eastAsia="MS Mincho" w:cs="Times New Roman"/>
                <w:b w:val="0"/>
                <w:szCs w:val="22"/>
              </w:rPr>
              <w:t>Government Grants Commonwealth</w:t>
            </w:r>
          </w:p>
        </w:tc>
        <w:tc>
          <w:tcPr>
            <w:tcW w:w="1425" w:type="pct"/>
            <w:tcBorders>
              <w:top w:val="nil"/>
              <w:left w:val="single" w:sz="4" w:space="0" w:color="FFFFFF"/>
              <w:bottom w:val="nil"/>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$5,442</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575" w:type="pct"/>
            <w:tcBorders>
              <w:top w:val="nil"/>
              <w:bottom w:val="nil"/>
              <w:right w:val="single" w:sz="4" w:space="0" w:color="FFFFFF"/>
            </w:tcBorders>
            <w:noWrap/>
            <w:vAlign w:val="center"/>
            <w:hideMark/>
          </w:tcPr>
          <w:p w:rsidR="002A03C0" w:rsidRDefault="00B5111D">
            <w:pPr>
              <w:spacing w:before="40" w:after="40" w:line="240" w:lineRule="auto"/>
              <w:rPr>
                <w:rFonts w:eastAsia="MS Mincho" w:cs="Times New Roman"/>
                <w:szCs w:val="22"/>
              </w:rPr>
            </w:pPr>
            <w:r>
              <w:rPr>
                <w:rFonts w:eastAsia="MS Mincho" w:cs="Times New Roman"/>
                <w:b w:val="0"/>
                <w:szCs w:val="22"/>
              </w:rPr>
              <w:t>Government Grants State</w:t>
            </w:r>
          </w:p>
        </w:tc>
        <w:tc>
          <w:tcPr>
            <w:tcW w:w="1425" w:type="pct"/>
            <w:tcBorders>
              <w:top w:val="nil"/>
              <w:left w:val="single" w:sz="4" w:space="0" w:color="FFFFFF"/>
              <w:bottom w:val="nil"/>
            </w:tcBorders>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$0</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575" w:type="pct"/>
            <w:tcBorders>
              <w:top w:val="nil"/>
              <w:bottom w:val="nil"/>
              <w:right w:val="single" w:sz="4" w:space="0" w:color="FFFFFF"/>
            </w:tcBorders>
            <w:shd w:val="clear" w:color="auto" w:fill="D9D9D9"/>
            <w:noWrap/>
            <w:vAlign w:val="center"/>
            <w:hideMark/>
          </w:tcPr>
          <w:p w:rsidR="002A03C0" w:rsidRDefault="00B5111D">
            <w:pPr>
              <w:spacing w:before="40" w:after="40" w:line="240" w:lineRule="auto"/>
              <w:rPr>
                <w:rFonts w:eastAsia="MS Mincho" w:cs="Times New Roman"/>
                <w:szCs w:val="22"/>
              </w:rPr>
            </w:pPr>
            <w:r>
              <w:rPr>
                <w:rFonts w:eastAsia="MS Mincho" w:cs="Times New Roman"/>
                <w:b w:val="0"/>
                <w:szCs w:val="22"/>
              </w:rPr>
              <w:t>Revenue Other</w:t>
            </w:r>
          </w:p>
        </w:tc>
        <w:tc>
          <w:tcPr>
            <w:tcW w:w="1425" w:type="pct"/>
            <w:tcBorders>
              <w:top w:val="nil"/>
              <w:left w:val="single" w:sz="4" w:space="0" w:color="FFFFFF"/>
              <w:bottom w:val="nil"/>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$11,384</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575" w:type="pct"/>
            <w:tcBorders>
              <w:top w:val="nil"/>
              <w:bottom w:val="single" w:sz="2" w:space="0" w:color="106CB5"/>
              <w:right w:val="nil"/>
            </w:tcBorders>
            <w:shd w:val="clear" w:color="auto" w:fill="auto"/>
            <w:noWrap/>
            <w:vAlign w:val="center"/>
          </w:tcPr>
          <w:p w:rsidR="002A03C0" w:rsidRDefault="00B5111D">
            <w:pPr>
              <w:spacing w:before="40" w:after="40" w:line="240" w:lineRule="auto"/>
              <w:rPr>
                <w:rFonts w:eastAsia="MS Mincho" w:cs="Times New Roman"/>
                <w:szCs w:val="22"/>
              </w:rPr>
            </w:pPr>
            <w:r>
              <w:rPr>
                <w:rFonts w:eastAsia="MS Mincho" w:cs="Times New Roman"/>
                <w:b w:val="0"/>
                <w:szCs w:val="22"/>
              </w:rPr>
              <w:t>Locally Raised Funds</w:t>
            </w:r>
          </w:p>
        </w:tc>
        <w:tc>
          <w:tcPr>
            <w:tcW w:w="1425" w:type="pct"/>
            <w:tcBorders>
              <w:top w:val="nil"/>
              <w:left w:val="nil"/>
              <w:bottom w:val="single" w:sz="2" w:space="0" w:color="106CB5"/>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$53,947</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575" w:type="pct"/>
            <w:tcBorders>
              <w:top w:val="single" w:sz="2" w:space="0" w:color="106CB5"/>
              <w:bottom w:val="single" w:sz="2" w:space="0" w:color="106CB5"/>
            </w:tcBorders>
            <w:noWrap/>
            <w:vAlign w:val="center"/>
            <w:hideMark/>
          </w:tcPr>
          <w:p w:rsidR="002A03C0" w:rsidRDefault="00B5111D">
            <w:pPr>
              <w:spacing w:before="40" w:after="40" w:line="240" w:lineRule="auto"/>
              <w:rPr>
                <w:rFonts w:eastAsia="MS Mincho" w:cs="Times New Roman"/>
                <w:szCs w:val="22"/>
              </w:rPr>
            </w:pPr>
            <w:r>
              <w:rPr>
                <w:rFonts w:eastAsia="MS Mincho" w:cs="Times New Roman"/>
                <w:szCs w:val="22"/>
              </w:rPr>
              <w:t>Total Operating Revenue</w:t>
            </w:r>
          </w:p>
        </w:tc>
        <w:tc>
          <w:tcPr>
            <w:tcW w:w="1425" w:type="pct"/>
            <w:tcBorders>
              <w:top w:val="single" w:sz="2" w:space="0" w:color="106CB5"/>
              <w:bottom w:val="single" w:sz="2" w:space="0" w:color="106CB5"/>
            </w:tcBorders>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$709,102</w:t>
            </w:r>
          </w:p>
        </w:tc>
      </w:tr>
    </w:tbl>
    <w:p w:rsidR="002A03C0" w:rsidRDefault="004872F1">
      <w:pPr>
        <w:spacing w:after="0" w:line="240" w:lineRule="auto"/>
        <w:rPr>
          <w:rFonts w:eastAsia="MS Mincho"/>
        </w:rPr>
      </w:pPr>
    </w:p>
    <w:tbl>
      <w:tblPr>
        <w:tblStyle w:val="GridTable2-Accent6121"/>
        <w:tblW w:w="2876" w:type="pct"/>
        <w:jc w:val="center"/>
        <w:tblLook w:val="04A0" w:firstRow="1" w:lastRow="0" w:firstColumn="1" w:lastColumn="0" w:noHBand="0" w:noVBand="1"/>
        <w:tblCaption w:val="FInance - Equity Table"/>
      </w:tblPr>
      <w:tblGrid>
        <w:gridCol w:w="4428"/>
        <w:gridCol w:w="1765"/>
      </w:tblGrid>
      <w:tr w:rsidR="003360A1" w:rsidTr="003360A1">
        <w:trPr>
          <w:cnfStyle w:val="100000000000" w:firstRow="1" w:lastRow="0" w:firstColumn="0" w:lastColumn="0" w:oddVBand="0" w:evenVBand="0" w:oddHBand="0" w:evenHBand="0" w:firstRowFirstColumn="0" w:firstRowLastColumn="0" w:lastRowFirstColumn="0" w:lastRowLastColumn="0"/>
          <w:trHeight w:hRule="exact" w:val="284"/>
          <w:tblHeader/>
          <w:jc w:val="center"/>
        </w:trPr>
        <w:tc>
          <w:tcPr>
            <w:cnfStyle w:val="001000000000" w:firstRow="0" w:lastRow="0" w:firstColumn="1" w:lastColumn="0" w:oddVBand="0" w:evenVBand="0" w:oddHBand="0" w:evenHBand="0" w:firstRowFirstColumn="0" w:firstRowLastColumn="0" w:lastRowFirstColumn="0" w:lastRowLastColumn="0"/>
            <w:tcW w:w="3228" w:type="pct"/>
            <w:shd w:val="clear" w:color="auto" w:fill="106CB5"/>
            <w:noWrap/>
            <w:vAlign w:val="center"/>
          </w:tcPr>
          <w:p w:rsidR="002A03C0" w:rsidRDefault="00B5111D">
            <w:pPr>
              <w:spacing w:before="40" w:after="40" w:line="240" w:lineRule="auto"/>
              <w:rPr>
                <w:rFonts w:eastAsia="MS Mincho" w:cs="Times New Roman"/>
                <w:color w:val="FFFFFF"/>
                <w:szCs w:val="22"/>
              </w:rPr>
            </w:pPr>
            <w:r>
              <w:rPr>
                <w:rFonts w:cs="Times New Roman"/>
                <w:b w:val="0"/>
                <w:color w:val="FFFFFF"/>
                <w:szCs w:val="22"/>
              </w:rPr>
              <w:t xml:space="preserve">Equity </w:t>
            </w:r>
            <w:r>
              <w:rPr>
                <w:rFonts w:cs="Times New Roman"/>
                <w:b w:val="0"/>
                <w:color w:val="FFFFFF"/>
                <w:szCs w:val="22"/>
                <w:vertAlign w:val="superscript"/>
              </w:rPr>
              <w:t>1</w:t>
            </w:r>
          </w:p>
        </w:tc>
        <w:tc>
          <w:tcPr>
            <w:tcW w:w="1772" w:type="pct"/>
            <w:shd w:val="clear" w:color="auto" w:fill="106CB5"/>
            <w:noWrap/>
            <w:vAlign w:val="center"/>
          </w:tcPr>
          <w:p w:rsidR="002A03C0" w:rsidRDefault="00B5111D">
            <w:pPr>
              <w:spacing w:before="40" w:after="40" w:line="240" w:lineRule="auto"/>
              <w:jc w:val="right"/>
              <w:cnfStyle w:val="100000000000" w:firstRow="1" w:lastRow="0" w:firstColumn="0" w:lastColumn="0" w:oddVBand="0" w:evenVBand="0" w:oddHBand="0" w:evenHBand="0" w:firstRowFirstColumn="0" w:firstRowLastColumn="0" w:lastRowFirstColumn="0" w:lastRowLastColumn="0"/>
              <w:rPr>
                <w:rFonts w:eastAsia="MS Mincho" w:cs="Times New Roman"/>
                <w:color w:val="FFFFFF"/>
                <w:szCs w:val="22"/>
              </w:rPr>
            </w:pPr>
            <w:r>
              <w:rPr>
                <w:rFonts w:cs="Times New Roman"/>
                <w:b w:val="0"/>
                <w:color w:val="FFFFFF"/>
                <w:szCs w:val="22"/>
              </w:rPr>
              <w:t>Actual</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228" w:type="pct"/>
            <w:tcBorders>
              <w:top w:val="single" w:sz="12" w:space="0" w:color="FFFFFF"/>
              <w:bottom w:val="nil"/>
            </w:tcBorders>
            <w:shd w:val="clear" w:color="auto" w:fill="D9D9D9"/>
            <w:noWrap/>
            <w:vAlign w:val="center"/>
          </w:tcPr>
          <w:p w:rsidR="002A03C0" w:rsidRDefault="00B5111D">
            <w:pPr>
              <w:spacing w:before="40" w:after="40" w:line="240" w:lineRule="auto"/>
              <w:rPr>
                <w:rFonts w:eastAsia="MS Mincho" w:cs="Times New Roman"/>
                <w:szCs w:val="22"/>
              </w:rPr>
            </w:pPr>
            <w:r>
              <w:rPr>
                <w:rFonts w:cs="Times New Roman"/>
                <w:b w:val="0"/>
                <w:szCs w:val="22"/>
              </w:rPr>
              <w:t>Equity (Social Disadvantage)</w:t>
            </w:r>
          </w:p>
        </w:tc>
        <w:tc>
          <w:tcPr>
            <w:tcW w:w="1772" w:type="pct"/>
            <w:tcBorders>
              <w:top w:val="single" w:sz="12" w:space="0" w:color="FFFFFF"/>
              <w:bottom w:val="nil"/>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$5,000</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228" w:type="pct"/>
            <w:tcBorders>
              <w:top w:val="nil"/>
              <w:bottom w:val="nil"/>
              <w:right w:val="nil"/>
            </w:tcBorders>
            <w:shd w:val="clear" w:color="auto" w:fill="auto"/>
            <w:noWrap/>
            <w:vAlign w:val="center"/>
          </w:tcPr>
          <w:p w:rsidR="002A03C0" w:rsidRDefault="00B5111D">
            <w:pPr>
              <w:spacing w:before="40" w:after="40" w:line="240" w:lineRule="auto"/>
              <w:rPr>
                <w:rFonts w:eastAsia="MS Mincho" w:cs="Times New Roman"/>
                <w:szCs w:val="22"/>
              </w:rPr>
            </w:pPr>
            <w:r>
              <w:rPr>
                <w:rFonts w:cs="Times New Roman"/>
                <w:b w:val="0"/>
                <w:szCs w:val="22"/>
              </w:rPr>
              <w:t>Equity (Catch Up)</w:t>
            </w:r>
          </w:p>
        </w:tc>
        <w:tc>
          <w:tcPr>
            <w:tcW w:w="1772" w:type="pct"/>
            <w:tcBorders>
              <w:top w:val="nil"/>
              <w:left w:val="nil"/>
              <w:bottom w:val="nil"/>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$0</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228" w:type="pct"/>
            <w:tcBorders>
              <w:top w:val="nil"/>
              <w:bottom w:val="nil"/>
            </w:tcBorders>
            <w:shd w:val="clear" w:color="auto" w:fill="D9D9D9"/>
            <w:noWrap/>
            <w:vAlign w:val="center"/>
          </w:tcPr>
          <w:p w:rsidR="002A03C0" w:rsidRDefault="00B5111D">
            <w:pPr>
              <w:spacing w:before="40" w:after="40" w:line="240" w:lineRule="auto"/>
              <w:rPr>
                <w:rFonts w:eastAsia="MS Mincho" w:cs="Times New Roman"/>
                <w:szCs w:val="22"/>
              </w:rPr>
            </w:pPr>
            <w:r>
              <w:rPr>
                <w:rFonts w:cs="Times New Roman"/>
                <w:b w:val="0"/>
                <w:szCs w:val="22"/>
              </w:rPr>
              <w:t>Transition Funding</w:t>
            </w:r>
          </w:p>
        </w:tc>
        <w:tc>
          <w:tcPr>
            <w:tcW w:w="1772" w:type="pct"/>
            <w:tcBorders>
              <w:top w:val="nil"/>
              <w:bottom w:val="nil"/>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$0</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228" w:type="pct"/>
            <w:tcBorders>
              <w:top w:val="nil"/>
              <w:bottom w:val="single" w:sz="2" w:space="0" w:color="106CB5"/>
            </w:tcBorders>
            <w:shd w:val="clear" w:color="auto" w:fill="auto"/>
            <w:noWrap/>
            <w:vAlign w:val="center"/>
          </w:tcPr>
          <w:p w:rsidR="002A03C0" w:rsidRDefault="00B5111D">
            <w:pPr>
              <w:spacing w:before="40" w:after="40"/>
              <w:rPr>
                <w:rFonts w:cs="Times New Roman"/>
                <w:szCs w:val="22"/>
              </w:rPr>
            </w:pPr>
            <w:r>
              <w:rPr>
                <w:rFonts w:cs="Times New Roman"/>
                <w:b w:val="0"/>
                <w:szCs w:val="22"/>
              </w:rPr>
              <w:t>Equity (Social Disadvantage – Extraordinary Growth)</w:t>
            </w:r>
          </w:p>
          <w:p w:rsidR="002A03C0" w:rsidRDefault="004872F1">
            <w:pPr>
              <w:spacing w:before="40" w:after="40" w:line="240" w:lineRule="auto"/>
              <w:rPr>
                <w:rFonts w:eastAsia="MS Mincho" w:cs="Times New Roman"/>
                <w:color w:val="FFFFFF"/>
                <w:szCs w:val="22"/>
              </w:rPr>
            </w:pPr>
          </w:p>
        </w:tc>
        <w:tc>
          <w:tcPr>
            <w:tcW w:w="1772" w:type="pct"/>
            <w:tcBorders>
              <w:top w:val="nil"/>
              <w:bottom w:val="single" w:sz="2" w:space="0" w:color="106CB5"/>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$0</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228" w:type="pct"/>
            <w:tcBorders>
              <w:top w:val="single" w:sz="2" w:space="0" w:color="106CB5"/>
              <w:bottom w:val="single" w:sz="2" w:space="0" w:color="106CB5"/>
            </w:tcBorders>
            <w:shd w:val="clear" w:color="auto" w:fill="auto"/>
            <w:noWrap/>
            <w:vAlign w:val="center"/>
          </w:tcPr>
          <w:p w:rsidR="002A03C0" w:rsidRDefault="00B5111D">
            <w:pPr>
              <w:spacing w:before="40" w:after="40"/>
              <w:rPr>
                <w:rFonts w:cs="Times New Roman"/>
                <w:szCs w:val="22"/>
              </w:rPr>
            </w:pPr>
            <w:r>
              <w:rPr>
                <w:rFonts w:cs="Times New Roman"/>
                <w:szCs w:val="22"/>
              </w:rPr>
              <w:t>Equity Total</w:t>
            </w:r>
          </w:p>
        </w:tc>
        <w:tc>
          <w:tcPr>
            <w:tcW w:w="1772" w:type="pct"/>
            <w:tcBorders>
              <w:top w:val="single" w:sz="2" w:space="0" w:color="106CB5"/>
              <w:bottom w:val="single" w:sz="2" w:space="0" w:color="106CB5"/>
            </w:tcBorders>
            <w:shd w:val="clear" w:color="auto" w:fill="auto"/>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$5,000</w:t>
            </w:r>
          </w:p>
        </w:tc>
      </w:tr>
    </w:tbl>
    <w:p w:rsidR="002A03C0" w:rsidRDefault="004872F1">
      <w:pPr>
        <w:spacing w:after="0" w:line="240" w:lineRule="auto"/>
        <w:rPr>
          <w:rFonts w:eastAsia="MS Mincho"/>
        </w:rPr>
      </w:pPr>
    </w:p>
    <w:tbl>
      <w:tblPr>
        <w:tblStyle w:val="GridTable2-Accent612"/>
        <w:tblW w:w="2876" w:type="pct"/>
        <w:jc w:val="center"/>
        <w:tblLook w:val="04A0" w:firstRow="1" w:lastRow="0" w:firstColumn="1" w:lastColumn="0" w:noHBand="0" w:noVBand="1"/>
        <w:tblCaption w:val="Finance - Expenditure table"/>
      </w:tblPr>
      <w:tblGrid>
        <w:gridCol w:w="3997"/>
        <w:gridCol w:w="2196"/>
      </w:tblGrid>
      <w:tr w:rsidR="003360A1" w:rsidTr="003360A1">
        <w:trPr>
          <w:cnfStyle w:val="100000000000" w:firstRow="1" w:lastRow="0" w:firstColumn="0" w:lastColumn="0" w:oddVBand="0" w:evenVBand="0" w:oddHBand="0" w:evenHBand="0" w:firstRowFirstColumn="0" w:firstRowLastColumn="0" w:lastRowFirstColumn="0" w:lastRowLastColumn="0"/>
          <w:trHeight w:hRule="exact" w:val="454"/>
          <w:tblHeader/>
          <w:jc w:val="center"/>
        </w:trPr>
        <w:tc>
          <w:tcPr>
            <w:cnfStyle w:val="001000000000" w:firstRow="0" w:lastRow="0" w:firstColumn="1" w:lastColumn="0" w:oddVBand="0" w:evenVBand="0" w:oddHBand="0" w:evenHBand="0" w:firstRowFirstColumn="0" w:firstRowLastColumn="0" w:lastRowFirstColumn="0" w:lastRowLastColumn="0"/>
            <w:tcW w:w="3227" w:type="pct"/>
            <w:shd w:val="clear" w:color="auto" w:fill="106CB5"/>
            <w:vAlign w:val="center"/>
            <w:hideMark/>
          </w:tcPr>
          <w:p w:rsidR="002A03C0" w:rsidRDefault="00B5111D">
            <w:pPr>
              <w:spacing w:before="40" w:after="40" w:line="240" w:lineRule="auto"/>
              <w:rPr>
                <w:rFonts w:eastAsia="MS Mincho" w:cs="Times New Roman"/>
                <w:color w:val="FFFFFF"/>
                <w:szCs w:val="22"/>
                <w:lang w:val="en-US"/>
              </w:rPr>
            </w:pPr>
            <w:r>
              <w:rPr>
                <w:rFonts w:eastAsia="MS Mincho" w:cs="Times New Roman"/>
                <w:b w:val="0"/>
                <w:bCs w:val="0"/>
                <w:color w:val="FFFFFF"/>
                <w:szCs w:val="22"/>
                <w:lang w:val="en-US"/>
              </w:rPr>
              <w:t>Expenditure</w:t>
            </w:r>
          </w:p>
        </w:tc>
        <w:tc>
          <w:tcPr>
            <w:tcW w:w="1773" w:type="pct"/>
            <w:shd w:val="clear" w:color="auto" w:fill="106CB5"/>
            <w:vAlign w:val="center"/>
            <w:hideMark/>
          </w:tcPr>
          <w:p w:rsidR="002A03C0" w:rsidRDefault="00B5111D">
            <w:pPr>
              <w:spacing w:before="40" w:after="40" w:line="240" w:lineRule="auto"/>
              <w:jc w:val="right"/>
              <w:cnfStyle w:val="100000000000" w:firstRow="1" w:lastRow="0" w:firstColumn="0" w:lastColumn="0" w:oddVBand="0" w:evenVBand="0" w:oddHBand="0" w:evenHBand="0" w:firstRowFirstColumn="0" w:firstRowLastColumn="0" w:lastRowFirstColumn="0" w:lastRowLastColumn="0"/>
              <w:rPr>
                <w:rFonts w:eastAsia="MS Mincho" w:cs="Times New Roman"/>
                <w:color w:val="FFFFFF"/>
                <w:szCs w:val="22"/>
                <w:lang w:val="en-US"/>
              </w:rPr>
            </w:pPr>
            <w:r>
              <w:rPr>
                <w:rFonts w:eastAsia="MS Mincho" w:cs="Times New Roman"/>
                <w:b w:val="0"/>
                <w:bCs w:val="0"/>
                <w:color w:val="FFFFFF"/>
                <w:szCs w:val="22"/>
                <w:lang w:val="en-US"/>
              </w:rPr>
              <w:t>Actual</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227" w:type="pct"/>
            <w:tcBorders>
              <w:top w:val="single" w:sz="12" w:space="0" w:color="FFFFFF"/>
              <w:bottom w:val="nil"/>
              <w:right w:val="single" w:sz="4" w:space="0" w:color="FFFFFF"/>
            </w:tcBorders>
            <w:shd w:val="clear" w:color="auto" w:fill="D9D9D9"/>
            <w:noWrap/>
            <w:vAlign w:val="center"/>
            <w:hideMark/>
          </w:tcPr>
          <w:p w:rsidR="002A03C0" w:rsidRDefault="00B5111D">
            <w:pPr>
              <w:spacing w:before="40" w:after="40" w:line="240" w:lineRule="auto"/>
              <w:rPr>
                <w:rFonts w:eastAsia="MS Mincho" w:cs="Times New Roman"/>
                <w:szCs w:val="22"/>
                <w:lang w:val="en-US"/>
              </w:rPr>
            </w:pPr>
            <w:r>
              <w:rPr>
                <w:rFonts w:eastAsia="MS Mincho" w:cs="Times New Roman"/>
                <w:b w:val="0"/>
                <w:bCs w:val="0"/>
                <w:szCs w:val="22"/>
                <w:lang w:val="en-US"/>
              </w:rPr>
              <w:t xml:space="preserve">Student Resource Package </w:t>
            </w:r>
            <w:r>
              <w:rPr>
                <w:rFonts w:eastAsia="MS Mincho" w:cs="Times New Roman"/>
                <w:b w:val="0"/>
                <w:bCs w:val="0"/>
                <w:szCs w:val="22"/>
                <w:vertAlign w:val="superscript"/>
                <w:lang w:val="en-US"/>
              </w:rPr>
              <w:t>2</w:t>
            </w:r>
          </w:p>
        </w:tc>
        <w:tc>
          <w:tcPr>
            <w:tcW w:w="1773" w:type="pct"/>
            <w:tcBorders>
              <w:top w:val="single" w:sz="12" w:space="0" w:color="FFFFFF"/>
              <w:left w:val="single" w:sz="4" w:space="0" w:color="FFFFFF"/>
              <w:bottom w:val="nil"/>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$510,164</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227" w:type="pct"/>
            <w:tcBorders>
              <w:top w:val="nil"/>
              <w:bottom w:val="nil"/>
              <w:right w:val="single" w:sz="4" w:space="0" w:color="FFFFFF"/>
            </w:tcBorders>
            <w:noWrap/>
            <w:vAlign w:val="center"/>
            <w:hideMark/>
          </w:tcPr>
          <w:p w:rsidR="002A03C0" w:rsidRDefault="00B5111D">
            <w:pPr>
              <w:spacing w:before="40" w:after="40" w:line="240" w:lineRule="auto"/>
              <w:rPr>
                <w:rFonts w:eastAsia="MS Mincho" w:cs="Times New Roman"/>
                <w:szCs w:val="22"/>
                <w:lang w:val="en-US"/>
              </w:rPr>
            </w:pPr>
            <w:r>
              <w:rPr>
                <w:rFonts w:eastAsia="MS Mincho" w:cs="Times New Roman"/>
                <w:b w:val="0"/>
                <w:bCs w:val="0"/>
                <w:szCs w:val="22"/>
                <w:lang w:val="en-US"/>
              </w:rPr>
              <w:t>Adjustments</w:t>
            </w:r>
          </w:p>
        </w:tc>
        <w:tc>
          <w:tcPr>
            <w:tcW w:w="1773" w:type="pct"/>
            <w:tcBorders>
              <w:top w:val="nil"/>
              <w:left w:val="single" w:sz="4" w:space="0" w:color="FFFFFF"/>
              <w:bottom w:val="nil"/>
            </w:tcBorders>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$0</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227" w:type="pct"/>
            <w:tcBorders>
              <w:top w:val="nil"/>
              <w:bottom w:val="nil"/>
              <w:right w:val="single" w:sz="4" w:space="0" w:color="FFFFFF"/>
            </w:tcBorders>
            <w:shd w:val="clear" w:color="auto" w:fill="D9D9D9"/>
            <w:noWrap/>
            <w:vAlign w:val="center"/>
          </w:tcPr>
          <w:p w:rsidR="002A03C0" w:rsidRDefault="00B5111D">
            <w:pPr>
              <w:spacing w:before="40" w:after="40" w:line="240" w:lineRule="auto"/>
              <w:rPr>
                <w:rFonts w:eastAsia="MS Mincho" w:cs="Times New Roman"/>
                <w:szCs w:val="22"/>
                <w:lang w:val="en-US"/>
              </w:rPr>
            </w:pPr>
            <w:r>
              <w:rPr>
                <w:rFonts w:eastAsia="MS Mincho" w:cs="Times New Roman"/>
                <w:b w:val="0"/>
                <w:bCs w:val="0"/>
                <w:szCs w:val="22"/>
                <w:lang w:val="en-US"/>
              </w:rPr>
              <w:t>Books &amp; Publications</w:t>
            </w:r>
          </w:p>
        </w:tc>
        <w:tc>
          <w:tcPr>
            <w:tcW w:w="1773" w:type="pct"/>
            <w:tcBorders>
              <w:top w:val="nil"/>
              <w:left w:val="single" w:sz="4" w:space="0" w:color="FFFFFF"/>
              <w:bottom w:val="nil"/>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$0</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227" w:type="pct"/>
            <w:tcBorders>
              <w:top w:val="nil"/>
              <w:bottom w:val="nil"/>
              <w:right w:val="nil"/>
            </w:tcBorders>
            <w:shd w:val="clear" w:color="auto" w:fill="auto"/>
            <w:noWrap/>
            <w:vAlign w:val="center"/>
          </w:tcPr>
          <w:p w:rsidR="002A03C0" w:rsidRDefault="00B5111D">
            <w:pPr>
              <w:spacing w:before="40" w:after="40" w:line="240" w:lineRule="auto"/>
              <w:rPr>
                <w:rFonts w:eastAsia="MS Mincho" w:cs="Times New Roman"/>
                <w:szCs w:val="22"/>
                <w:lang w:val="en-US"/>
              </w:rPr>
            </w:pPr>
            <w:r>
              <w:rPr>
                <w:rFonts w:eastAsia="MS Mincho" w:cs="Times New Roman"/>
                <w:b w:val="0"/>
                <w:bCs w:val="0"/>
                <w:szCs w:val="22"/>
                <w:lang w:val="en-US"/>
              </w:rPr>
              <w:t>Communication Costs</w:t>
            </w:r>
          </w:p>
        </w:tc>
        <w:tc>
          <w:tcPr>
            <w:tcW w:w="1773" w:type="pct"/>
            <w:tcBorders>
              <w:top w:val="nil"/>
              <w:left w:val="nil"/>
              <w:bottom w:val="nil"/>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$3,705</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227" w:type="pct"/>
            <w:tcBorders>
              <w:top w:val="nil"/>
              <w:bottom w:val="nil"/>
              <w:right w:val="single" w:sz="4" w:space="0" w:color="FFFFFF"/>
            </w:tcBorders>
            <w:shd w:val="clear" w:color="auto" w:fill="D9D9D9"/>
            <w:noWrap/>
            <w:vAlign w:val="center"/>
          </w:tcPr>
          <w:p w:rsidR="002A03C0" w:rsidRDefault="00B5111D">
            <w:pPr>
              <w:spacing w:before="40" w:after="40" w:line="240" w:lineRule="auto"/>
              <w:rPr>
                <w:rFonts w:eastAsia="MS Mincho" w:cs="Times New Roman"/>
                <w:szCs w:val="22"/>
                <w:lang w:val="en-US"/>
              </w:rPr>
            </w:pPr>
            <w:r>
              <w:rPr>
                <w:rFonts w:eastAsia="MS Mincho" w:cs="Times New Roman"/>
                <w:b w:val="0"/>
                <w:bCs w:val="0"/>
                <w:szCs w:val="22"/>
                <w:lang w:val="en-US"/>
              </w:rPr>
              <w:t>Consumables</w:t>
            </w:r>
          </w:p>
        </w:tc>
        <w:tc>
          <w:tcPr>
            <w:tcW w:w="1773" w:type="pct"/>
            <w:tcBorders>
              <w:top w:val="nil"/>
              <w:left w:val="single" w:sz="4" w:space="0" w:color="FFFFFF"/>
              <w:bottom w:val="nil"/>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$13,291</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227" w:type="pct"/>
            <w:tcBorders>
              <w:top w:val="nil"/>
              <w:bottom w:val="nil"/>
              <w:right w:val="nil"/>
            </w:tcBorders>
            <w:shd w:val="clear" w:color="auto" w:fill="auto"/>
            <w:noWrap/>
            <w:vAlign w:val="center"/>
          </w:tcPr>
          <w:p w:rsidR="002A03C0" w:rsidRDefault="00B5111D">
            <w:pPr>
              <w:spacing w:before="40" w:after="40" w:line="240" w:lineRule="auto"/>
              <w:rPr>
                <w:rFonts w:eastAsia="MS Mincho" w:cs="Times New Roman"/>
                <w:szCs w:val="22"/>
                <w:lang w:val="en-US"/>
              </w:rPr>
            </w:pPr>
            <w:r>
              <w:rPr>
                <w:rFonts w:eastAsia="MS Mincho" w:cs="Times New Roman"/>
                <w:b w:val="0"/>
                <w:bCs w:val="0"/>
                <w:szCs w:val="22"/>
                <w:lang w:val="en-US"/>
              </w:rPr>
              <w:t xml:space="preserve">Miscellaneous Expense </w:t>
            </w:r>
            <w:r>
              <w:rPr>
                <w:rFonts w:eastAsia="MS Mincho" w:cs="Times New Roman"/>
                <w:b w:val="0"/>
                <w:bCs w:val="0"/>
                <w:szCs w:val="22"/>
                <w:vertAlign w:val="superscript"/>
                <w:lang w:val="en-US"/>
              </w:rPr>
              <w:t>3</w:t>
            </w:r>
          </w:p>
        </w:tc>
        <w:tc>
          <w:tcPr>
            <w:tcW w:w="1773" w:type="pct"/>
            <w:tcBorders>
              <w:top w:val="nil"/>
              <w:left w:val="nil"/>
              <w:bottom w:val="nil"/>
            </w:tcBorders>
            <w:shd w:val="clear" w:color="auto" w:fill="auto"/>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$35,993</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227" w:type="pct"/>
            <w:tcBorders>
              <w:top w:val="nil"/>
              <w:bottom w:val="nil"/>
            </w:tcBorders>
            <w:shd w:val="clear" w:color="auto" w:fill="D9D9D9"/>
            <w:noWrap/>
            <w:vAlign w:val="center"/>
          </w:tcPr>
          <w:p w:rsidR="002A03C0" w:rsidRDefault="00B5111D">
            <w:pPr>
              <w:spacing w:before="40" w:after="40" w:line="240" w:lineRule="auto"/>
              <w:rPr>
                <w:rFonts w:eastAsia="MS Mincho" w:cs="Times New Roman"/>
                <w:szCs w:val="22"/>
                <w:lang w:val="en-US"/>
              </w:rPr>
            </w:pPr>
            <w:r>
              <w:rPr>
                <w:rFonts w:eastAsia="MS Mincho" w:cs="Times New Roman"/>
                <w:b w:val="0"/>
                <w:bCs w:val="0"/>
                <w:szCs w:val="22"/>
                <w:lang w:val="en-US"/>
              </w:rPr>
              <w:t>Professional Development</w:t>
            </w:r>
          </w:p>
        </w:tc>
        <w:tc>
          <w:tcPr>
            <w:tcW w:w="1773" w:type="pct"/>
            <w:tcBorders>
              <w:top w:val="nil"/>
              <w:bottom w:val="nil"/>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$4,728</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227" w:type="pct"/>
            <w:tcBorders>
              <w:top w:val="nil"/>
              <w:bottom w:val="nil"/>
              <w:right w:val="nil"/>
            </w:tcBorders>
            <w:shd w:val="clear" w:color="auto" w:fill="auto"/>
            <w:noWrap/>
            <w:vAlign w:val="center"/>
          </w:tcPr>
          <w:p w:rsidR="002A03C0" w:rsidRDefault="00B5111D">
            <w:pPr>
              <w:spacing w:before="40" w:after="40" w:line="240" w:lineRule="auto"/>
              <w:rPr>
                <w:rFonts w:eastAsia="MS Mincho" w:cs="Times New Roman"/>
                <w:szCs w:val="22"/>
                <w:lang w:val="en-US"/>
              </w:rPr>
            </w:pPr>
            <w:r>
              <w:rPr>
                <w:rFonts w:eastAsia="MS Mincho" w:cs="Times New Roman"/>
                <w:b w:val="0"/>
                <w:bCs w:val="0"/>
                <w:szCs w:val="22"/>
                <w:lang w:val="en-US"/>
              </w:rPr>
              <w:t>Property and Equipment Services</w:t>
            </w:r>
          </w:p>
        </w:tc>
        <w:tc>
          <w:tcPr>
            <w:tcW w:w="1773" w:type="pct"/>
            <w:tcBorders>
              <w:top w:val="nil"/>
              <w:left w:val="nil"/>
              <w:bottom w:val="nil"/>
            </w:tcBorders>
            <w:shd w:val="clear" w:color="auto" w:fill="auto"/>
            <w:noWrap/>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$39,316</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227" w:type="pct"/>
            <w:tcBorders>
              <w:top w:val="nil"/>
              <w:bottom w:val="nil"/>
              <w:right w:val="single" w:sz="4" w:space="0" w:color="FFFFFF"/>
            </w:tcBorders>
            <w:shd w:val="clear" w:color="auto" w:fill="DBD9D6"/>
            <w:noWrap/>
            <w:vAlign w:val="center"/>
          </w:tcPr>
          <w:p w:rsidR="002A03C0" w:rsidRDefault="00B5111D">
            <w:pPr>
              <w:spacing w:before="40" w:after="40" w:line="240" w:lineRule="auto"/>
              <w:rPr>
                <w:rFonts w:eastAsia="MS Mincho" w:cs="Times New Roman"/>
                <w:szCs w:val="22"/>
                <w:lang w:val="en-US"/>
              </w:rPr>
            </w:pPr>
            <w:r>
              <w:rPr>
                <w:rFonts w:eastAsia="MS Mincho" w:cs="Times New Roman"/>
                <w:b w:val="0"/>
                <w:bCs w:val="0"/>
                <w:szCs w:val="22"/>
                <w:lang w:val="en-US"/>
              </w:rPr>
              <w:t xml:space="preserve">Salaries &amp; Allowances </w:t>
            </w:r>
            <w:r>
              <w:rPr>
                <w:rFonts w:eastAsia="MS Mincho" w:cs="Times New Roman"/>
                <w:b w:val="0"/>
                <w:bCs w:val="0"/>
                <w:szCs w:val="22"/>
                <w:vertAlign w:val="superscript"/>
                <w:lang w:val="en-US"/>
              </w:rPr>
              <w:t>4</w:t>
            </w:r>
          </w:p>
        </w:tc>
        <w:tc>
          <w:tcPr>
            <w:tcW w:w="1773" w:type="pct"/>
            <w:tcBorders>
              <w:top w:val="nil"/>
              <w:left w:val="single" w:sz="4" w:space="0" w:color="FFFFFF"/>
              <w:bottom w:val="nil"/>
            </w:tcBorders>
            <w:shd w:val="clear" w:color="auto" w:fill="DBD9D6"/>
            <w:noWrap/>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$24,769</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227" w:type="pct"/>
            <w:tcBorders>
              <w:top w:val="nil"/>
              <w:bottom w:val="nil"/>
              <w:right w:val="single" w:sz="4" w:space="0" w:color="FFFFFF"/>
            </w:tcBorders>
            <w:shd w:val="clear" w:color="auto" w:fill="auto"/>
            <w:noWrap/>
            <w:vAlign w:val="center"/>
          </w:tcPr>
          <w:p w:rsidR="002A03C0" w:rsidRDefault="00B5111D">
            <w:pPr>
              <w:spacing w:before="40" w:after="40" w:line="240" w:lineRule="auto"/>
              <w:rPr>
                <w:rFonts w:eastAsia="MS Mincho" w:cs="Times New Roman"/>
                <w:szCs w:val="22"/>
                <w:lang w:val="en-US"/>
              </w:rPr>
            </w:pPr>
            <w:r>
              <w:rPr>
                <w:rFonts w:eastAsia="MS Mincho" w:cs="Times New Roman"/>
                <w:b w:val="0"/>
                <w:bCs w:val="0"/>
                <w:szCs w:val="22"/>
                <w:lang w:val="en-US"/>
              </w:rPr>
              <w:t>Trading &amp; Fundraising</w:t>
            </w:r>
          </w:p>
        </w:tc>
        <w:tc>
          <w:tcPr>
            <w:tcW w:w="1773" w:type="pct"/>
            <w:tcBorders>
              <w:top w:val="nil"/>
              <w:left w:val="single" w:sz="4" w:space="0" w:color="FFFFFF"/>
              <w:bottom w:val="nil"/>
            </w:tcBorders>
            <w:shd w:val="clear" w:color="auto" w:fill="auto"/>
            <w:noWrap/>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$7,509</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227" w:type="pct"/>
            <w:tcBorders>
              <w:top w:val="nil"/>
              <w:bottom w:val="nil"/>
              <w:right w:val="single" w:sz="4" w:space="0" w:color="FFFFFF"/>
            </w:tcBorders>
            <w:shd w:val="clear" w:color="auto" w:fill="DBD9D6"/>
            <w:noWrap/>
            <w:vAlign w:val="center"/>
          </w:tcPr>
          <w:p w:rsidR="002A03C0" w:rsidRDefault="00B5111D">
            <w:pPr>
              <w:spacing w:before="40" w:after="40" w:line="240" w:lineRule="auto"/>
              <w:rPr>
                <w:rFonts w:eastAsia="MS Mincho" w:cs="Times New Roman"/>
                <w:szCs w:val="22"/>
                <w:lang w:val="en-US"/>
              </w:rPr>
            </w:pPr>
            <w:r>
              <w:rPr>
                <w:rFonts w:eastAsia="MS Mincho" w:cs="Times New Roman"/>
                <w:b w:val="0"/>
                <w:bCs w:val="0"/>
                <w:szCs w:val="22"/>
                <w:lang w:val="en-US"/>
              </w:rPr>
              <w:t>Travel &amp; Subsistence</w:t>
            </w:r>
          </w:p>
        </w:tc>
        <w:tc>
          <w:tcPr>
            <w:tcW w:w="1773" w:type="pct"/>
            <w:tcBorders>
              <w:top w:val="nil"/>
              <w:left w:val="single" w:sz="4" w:space="0" w:color="FFFFFF"/>
              <w:bottom w:val="nil"/>
            </w:tcBorders>
            <w:shd w:val="clear" w:color="auto" w:fill="DBD9D6"/>
            <w:noWrap/>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$1,315</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227" w:type="pct"/>
            <w:tcBorders>
              <w:top w:val="nil"/>
              <w:bottom w:val="single" w:sz="2" w:space="0" w:color="106CB5"/>
              <w:right w:val="nil"/>
            </w:tcBorders>
            <w:shd w:val="clear" w:color="auto" w:fill="auto"/>
            <w:noWrap/>
            <w:vAlign w:val="center"/>
          </w:tcPr>
          <w:p w:rsidR="002A03C0" w:rsidRDefault="00B5111D">
            <w:pPr>
              <w:spacing w:before="40" w:after="40" w:line="240" w:lineRule="auto"/>
              <w:rPr>
                <w:rFonts w:eastAsia="MS Mincho" w:cs="Times New Roman"/>
                <w:szCs w:val="22"/>
                <w:lang w:val="en-US"/>
              </w:rPr>
            </w:pPr>
            <w:r>
              <w:rPr>
                <w:rFonts w:eastAsia="MS Mincho" w:cs="Times New Roman"/>
                <w:b w:val="0"/>
                <w:bCs w:val="0"/>
                <w:szCs w:val="22"/>
                <w:lang w:val="en-US"/>
              </w:rPr>
              <w:t>Utilities</w:t>
            </w:r>
          </w:p>
        </w:tc>
        <w:tc>
          <w:tcPr>
            <w:tcW w:w="1773" w:type="pct"/>
            <w:tcBorders>
              <w:top w:val="nil"/>
              <w:left w:val="nil"/>
              <w:bottom w:val="single" w:sz="2" w:space="0" w:color="106CB5"/>
            </w:tcBorders>
            <w:shd w:val="clear" w:color="auto" w:fill="auto"/>
            <w:noWrap/>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$3,927</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227" w:type="pct"/>
            <w:tcBorders>
              <w:top w:val="single" w:sz="2" w:space="0" w:color="106CB5"/>
              <w:bottom w:val="single" w:sz="2" w:space="0" w:color="106CB5"/>
            </w:tcBorders>
            <w:shd w:val="clear" w:color="auto" w:fill="auto"/>
            <w:noWrap/>
            <w:vAlign w:val="center"/>
          </w:tcPr>
          <w:p w:rsidR="002A03C0" w:rsidRDefault="00B5111D">
            <w:pPr>
              <w:spacing w:after="0" w:line="240" w:lineRule="auto"/>
              <w:rPr>
                <w:rFonts w:eastAsia="MS Mincho" w:cs="Times New Roman"/>
                <w:szCs w:val="22"/>
                <w:lang w:val="en-US"/>
              </w:rPr>
            </w:pPr>
            <w:r>
              <w:rPr>
                <w:rFonts w:eastAsia="MS Mincho" w:cs="Times New Roman"/>
                <w:bCs w:val="0"/>
                <w:szCs w:val="22"/>
                <w:lang w:val="en-US"/>
              </w:rPr>
              <w:t>Total Operating Expenditure</w:t>
            </w:r>
          </w:p>
          <w:p w:rsidR="002A03C0" w:rsidRDefault="004872F1">
            <w:pPr>
              <w:spacing w:before="40" w:after="40" w:line="240" w:lineRule="auto"/>
              <w:rPr>
                <w:rFonts w:eastAsia="MS Mincho" w:cs="Times New Roman"/>
                <w:szCs w:val="22"/>
                <w:lang w:val="en-US"/>
              </w:rPr>
            </w:pPr>
          </w:p>
        </w:tc>
        <w:tc>
          <w:tcPr>
            <w:tcW w:w="1773" w:type="pct"/>
            <w:tcBorders>
              <w:top w:val="single" w:sz="2" w:space="0" w:color="106CB5"/>
              <w:bottom w:val="single" w:sz="2" w:space="0" w:color="106CB5"/>
            </w:tcBorders>
            <w:shd w:val="clear" w:color="auto" w:fill="auto"/>
            <w:noWrap/>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$644,716</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227" w:type="pct"/>
            <w:tcBorders>
              <w:top w:val="single" w:sz="2" w:space="0" w:color="106CB5"/>
              <w:bottom w:val="single" w:sz="2" w:space="0" w:color="106CB5"/>
            </w:tcBorders>
            <w:shd w:val="clear" w:color="auto" w:fill="auto"/>
            <w:noWrap/>
            <w:vAlign w:val="center"/>
          </w:tcPr>
          <w:p w:rsidR="002A03C0" w:rsidRDefault="00B5111D">
            <w:pPr>
              <w:spacing w:after="0" w:line="240" w:lineRule="auto"/>
              <w:rPr>
                <w:rFonts w:eastAsia="MS Mincho" w:cs="Times New Roman"/>
                <w:szCs w:val="22"/>
              </w:rPr>
            </w:pPr>
            <w:r>
              <w:rPr>
                <w:rFonts w:eastAsia="MS Mincho" w:cs="Times New Roman"/>
                <w:szCs w:val="22"/>
              </w:rPr>
              <w:t>Net Operating Surplus/-Deficit</w:t>
            </w:r>
          </w:p>
        </w:tc>
        <w:tc>
          <w:tcPr>
            <w:tcW w:w="1773" w:type="pct"/>
            <w:tcBorders>
              <w:top w:val="single" w:sz="2" w:space="0" w:color="106CB5"/>
              <w:bottom w:val="single" w:sz="2" w:space="0" w:color="106CB5"/>
            </w:tcBorders>
            <w:shd w:val="clear" w:color="auto" w:fill="auto"/>
            <w:noWrap/>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$64,386</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227" w:type="pct"/>
            <w:tcBorders>
              <w:top w:val="single" w:sz="2" w:space="0" w:color="106CB5"/>
              <w:bottom w:val="single" w:sz="2" w:space="0" w:color="106CB5"/>
            </w:tcBorders>
            <w:shd w:val="clear" w:color="auto" w:fill="auto"/>
            <w:noWrap/>
            <w:vAlign w:val="center"/>
          </w:tcPr>
          <w:p w:rsidR="002A03C0" w:rsidRDefault="00B5111D">
            <w:pPr>
              <w:spacing w:after="0" w:line="240" w:lineRule="auto"/>
              <w:rPr>
                <w:rFonts w:eastAsia="MS Mincho" w:cs="Times New Roman"/>
                <w:szCs w:val="22"/>
              </w:rPr>
            </w:pPr>
            <w:r>
              <w:rPr>
                <w:rFonts w:eastAsia="MS Mincho" w:cs="Times New Roman"/>
                <w:szCs w:val="22"/>
              </w:rPr>
              <w:t>Asset Acquisitions</w:t>
            </w:r>
          </w:p>
        </w:tc>
        <w:tc>
          <w:tcPr>
            <w:tcW w:w="1773" w:type="pct"/>
            <w:tcBorders>
              <w:top w:val="single" w:sz="2" w:space="0" w:color="106CB5"/>
              <w:bottom w:val="single" w:sz="2" w:space="0" w:color="106CB5"/>
            </w:tcBorders>
            <w:shd w:val="clear" w:color="auto" w:fill="auto"/>
            <w:noWrap/>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$6,115</w:t>
            </w:r>
          </w:p>
        </w:tc>
      </w:tr>
    </w:tbl>
    <w:p w:rsidR="002A03C0" w:rsidRDefault="004872F1">
      <w:pPr>
        <w:spacing w:after="0" w:line="240" w:lineRule="auto"/>
        <w:rPr>
          <w:rFonts w:eastAsia="MS Mincho"/>
        </w:rPr>
      </w:pPr>
    </w:p>
    <w:p w:rsidR="002A03C0" w:rsidRDefault="00B5111D">
      <w:pPr>
        <w:keepNext/>
        <w:keepLines/>
        <w:spacing w:before="240"/>
        <w:outlineLvl w:val="0"/>
        <w:rPr>
          <w:rFonts w:eastAsia="MS Gothic" w:cs="Times New Roman"/>
          <w:b/>
          <w:bCs/>
          <w:caps/>
          <w:color w:val="00008B"/>
          <w:sz w:val="20"/>
          <w:szCs w:val="20"/>
          <w:u w:val="single"/>
        </w:rPr>
      </w:pPr>
      <w:r>
        <w:rPr>
          <w:rFonts w:eastAsia="MS Gothic" w:cs="Times New Roman"/>
          <w:b/>
          <w:bCs/>
          <w:caps/>
          <w:color w:val="00008B"/>
          <w:sz w:val="20"/>
          <w:szCs w:val="20"/>
          <w:u w:val="single"/>
        </w:rPr>
        <w:t>Financial Position as at 31 December, 2018</w:t>
      </w:r>
    </w:p>
    <w:tbl>
      <w:tblPr>
        <w:tblStyle w:val="GridTable2-Accent612"/>
        <w:tblW w:w="2876" w:type="pct"/>
        <w:jc w:val="center"/>
        <w:tblLook w:val="04A0" w:firstRow="1" w:lastRow="0" w:firstColumn="1" w:lastColumn="0" w:noHBand="0" w:noVBand="1"/>
        <w:tblCaption w:val="Fund available"/>
      </w:tblPr>
      <w:tblGrid>
        <w:gridCol w:w="3998"/>
        <w:gridCol w:w="2195"/>
      </w:tblGrid>
      <w:tr w:rsidR="003360A1" w:rsidTr="003360A1">
        <w:trPr>
          <w:cnfStyle w:val="100000000000" w:firstRow="1" w:lastRow="0" w:firstColumn="0" w:lastColumn="0" w:oddVBand="0" w:evenVBand="0" w:oddHBand="0" w:evenHBand="0" w:firstRowFirstColumn="0" w:firstRowLastColumn="0" w:lastRowFirstColumn="0" w:lastRowLastColumn="0"/>
          <w:trHeight w:hRule="exact" w:val="454"/>
          <w:tblHeader/>
          <w:jc w:val="center"/>
        </w:trPr>
        <w:tc>
          <w:tcPr>
            <w:cnfStyle w:val="001000000000" w:firstRow="0" w:lastRow="0" w:firstColumn="1" w:lastColumn="0" w:oddVBand="0" w:evenVBand="0" w:oddHBand="0" w:evenHBand="0" w:firstRowFirstColumn="0" w:firstRowLastColumn="0" w:lastRowFirstColumn="0" w:lastRowLastColumn="0"/>
            <w:tcW w:w="3228" w:type="pct"/>
            <w:shd w:val="clear" w:color="auto" w:fill="106CB5"/>
            <w:vAlign w:val="center"/>
            <w:hideMark/>
          </w:tcPr>
          <w:p w:rsidR="002A03C0" w:rsidRDefault="00B5111D">
            <w:pPr>
              <w:spacing w:before="40" w:after="40" w:line="240" w:lineRule="auto"/>
              <w:rPr>
                <w:rFonts w:eastAsia="MS Mincho" w:cs="Times New Roman"/>
                <w:color w:val="FFFFFF"/>
                <w:szCs w:val="22"/>
                <w:lang w:val="en-US"/>
              </w:rPr>
            </w:pPr>
            <w:r>
              <w:rPr>
                <w:rFonts w:eastAsia="MS Mincho" w:cs="Times New Roman"/>
                <w:b w:val="0"/>
                <w:bCs w:val="0"/>
                <w:color w:val="FFFFFF"/>
                <w:szCs w:val="22"/>
                <w:lang w:val="en-US"/>
              </w:rPr>
              <w:t>Funds available</w:t>
            </w:r>
          </w:p>
        </w:tc>
        <w:tc>
          <w:tcPr>
            <w:tcW w:w="1772" w:type="pct"/>
            <w:shd w:val="clear" w:color="auto" w:fill="106CB5"/>
            <w:vAlign w:val="center"/>
            <w:hideMark/>
          </w:tcPr>
          <w:p w:rsidR="002A03C0" w:rsidRDefault="00B5111D">
            <w:pPr>
              <w:spacing w:before="40" w:after="40" w:line="240" w:lineRule="auto"/>
              <w:jc w:val="right"/>
              <w:cnfStyle w:val="100000000000" w:firstRow="1" w:lastRow="0" w:firstColumn="0" w:lastColumn="0" w:oddVBand="0" w:evenVBand="0" w:oddHBand="0" w:evenHBand="0" w:firstRowFirstColumn="0" w:firstRowLastColumn="0" w:lastRowFirstColumn="0" w:lastRowLastColumn="0"/>
              <w:rPr>
                <w:rFonts w:eastAsia="MS Mincho" w:cs="Times New Roman"/>
                <w:color w:val="FFFFFF"/>
                <w:szCs w:val="22"/>
                <w:lang w:val="en-US"/>
              </w:rPr>
            </w:pPr>
            <w:r>
              <w:rPr>
                <w:rFonts w:eastAsia="MS Mincho" w:cs="Times New Roman"/>
                <w:b w:val="0"/>
                <w:bCs w:val="0"/>
                <w:color w:val="FFFFFF"/>
                <w:szCs w:val="22"/>
                <w:lang w:val="en-US"/>
              </w:rPr>
              <w:t>Actual</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228" w:type="pct"/>
            <w:tcBorders>
              <w:top w:val="single" w:sz="12" w:space="0" w:color="FFFFFF"/>
              <w:bottom w:val="nil"/>
              <w:right w:val="single" w:sz="4" w:space="0" w:color="FFFFFF"/>
            </w:tcBorders>
            <w:shd w:val="clear" w:color="auto" w:fill="D9D9D9"/>
            <w:noWrap/>
            <w:vAlign w:val="center"/>
          </w:tcPr>
          <w:p w:rsidR="002A03C0" w:rsidRDefault="00B5111D">
            <w:pPr>
              <w:spacing w:before="40" w:after="40" w:line="240" w:lineRule="auto"/>
              <w:rPr>
                <w:rFonts w:eastAsia="MS Mincho" w:cs="Times New Roman"/>
                <w:szCs w:val="22"/>
                <w:lang w:val="en-US"/>
              </w:rPr>
            </w:pPr>
            <w:r>
              <w:rPr>
                <w:rFonts w:eastAsia="MS Mincho" w:cs="Times New Roman"/>
                <w:b w:val="0"/>
                <w:bCs w:val="0"/>
                <w:szCs w:val="22"/>
                <w:lang w:val="en-US"/>
              </w:rPr>
              <w:t>High Yield Investment Account</w:t>
            </w:r>
          </w:p>
        </w:tc>
        <w:tc>
          <w:tcPr>
            <w:tcW w:w="1772" w:type="pct"/>
            <w:tcBorders>
              <w:top w:val="single" w:sz="12" w:space="0" w:color="FFFFFF"/>
              <w:left w:val="single" w:sz="4" w:space="0" w:color="FFFFFF"/>
              <w:bottom w:val="nil"/>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$52,252</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228" w:type="pct"/>
            <w:tcBorders>
              <w:top w:val="nil"/>
              <w:bottom w:val="nil"/>
              <w:right w:val="single" w:sz="4" w:space="0" w:color="FFFFFF"/>
            </w:tcBorders>
            <w:noWrap/>
            <w:vAlign w:val="center"/>
          </w:tcPr>
          <w:p w:rsidR="002A03C0" w:rsidRDefault="00B5111D">
            <w:pPr>
              <w:spacing w:before="40" w:after="40" w:line="240" w:lineRule="auto"/>
              <w:rPr>
                <w:rFonts w:eastAsia="MS Mincho" w:cs="Times New Roman"/>
                <w:szCs w:val="22"/>
                <w:lang w:val="en-US"/>
              </w:rPr>
            </w:pPr>
            <w:r>
              <w:rPr>
                <w:rFonts w:eastAsia="MS Mincho" w:cs="Times New Roman"/>
                <w:b w:val="0"/>
                <w:bCs w:val="0"/>
                <w:szCs w:val="22"/>
                <w:lang w:val="en-US"/>
              </w:rPr>
              <w:t>Official Account</w:t>
            </w:r>
          </w:p>
        </w:tc>
        <w:tc>
          <w:tcPr>
            <w:tcW w:w="1772" w:type="pct"/>
            <w:tcBorders>
              <w:top w:val="nil"/>
              <w:left w:val="single" w:sz="4" w:space="0" w:color="FFFFFF"/>
              <w:bottom w:val="nil"/>
            </w:tcBorders>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$2,909</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228" w:type="pct"/>
            <w:tcBorders>
              <w:top w:val="nil"/>
              <w:bottom w:val="single" w:sz="2" w:space="0" w:color="106CB5"/>
              <w:right w:val="single" w:sz="4" w:space="0" w:color="FFFFFF"/>
            </w:tcBorders>
            <w:shd w:val="clear" w:color="auto" w:fill="D9D9D9"/>
            <w:noWrap/>
            <w:vAlign w:val="center"/>
          </w:tcPr>
          <w:p w:rsidR="002A03C0" w:rsidRDefault="00B5111D">
            <w:pPr>
              <w:spacing w:before="40" w:after="40" w:line="240" w:lineRule="auto"/>
              <w:rPr>
                <w:rFonts w:eastAsia="MS Mincho" w:cs="Times New Roman"/>
                <w:szCs w:val="22"/>
                <w:lang w:val="en-US"/>
              </w:rPr>
            </w:pPr>
            <w:r>
              <w:rPr>
                <w:rFonts w:eastAsia="MS Mincho" w:cs="Times New Roman"/>
                <w:b w:val="0"/>
                <w:bCs w:val="0"/>
                <w:szCs w:val="22"/>
                <w:lang w:val="en-US"/>
              </w:rPr>
              <w:t>Other Accounts</w:t>
            </w:r>
          </w:p>
        </w:tc>
        <w:tc>
          <w:tcPr>
            <w:tcW w:w="1772" w:type="pct"/>
            <w:tcBorders>
              <w:top w:val="nil"/>
              <w:left w:val="single" w:sz="4" w:space="0" w:color="FFFFFF"/>
              <w:bottom w:val="single" w:sz="2" w:space="0" w:color="106CB5"/>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$0</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228" w:type="pct"/>
            <w:tcBorders>
              <w:top w:val="single" w:sz="2" w:space="0" w:color="106CB5"/>
              <w:bottom w:val="single" w:sz="2" w:space="0" w:color="106CB5"/>
            </w:tcBorders>
            <w:noWrap/>
            <w:vAlign w:val="center"/>
            <w:hideMark/>
          </w:tcPr>
          <w:p w:rsidR="002A03C0" w:rsidRDefault="00B5111D">
            <w:pPr>
              <w:spacing w:before="40" w:after="40" w:line="240" w:lineRule="auto"/>
              <w:rPr>
                <w:rFonts w:eastAsia="MS Mincho" w:cs="Times New Roman"/>
                <w:szCs w:val="22"/>
                <w:lang w:val="en-US"/>
              </w:rPr>
            </w:pPr>
            <w:r>
              <w:rPr>
                <w:rFonts w:eastAsia="MS Mincho" w:cs="Times New Roman"/>
                <w:bCs w:val="0"/>
                <w:szCs w:val="22"/>
                <w:lang w:val="en-US"/>
              </w:rPr>
              <w:t>Total Funds Available</w:t>
            </w:r>
          </w:p>
        </w:tc>
        <w:tc>
          <w:tcPr>
            <w:tcW w:w="1772" w:type="pct"/>
            <w:tcBorders>
              <w:top w:val="single" w:sz="2" w:space="0" w:color="106CB5"/>
              <w:bottom w:val="single" w:sz="2" w:space="0" w:color="106CB5"/>
            </w:tcBorders>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$55,160</w:t>
            </w:r>
          </w:p>
        </w:tc>
      </w:tr>
    </w:tbl>
    <w:p w:rsidR="002A03C0" w:rsidRDefault="00B5111D">
      <w:pPr>
        <w:spacing w:after="0" w:line="240" w:lineRule="auto"/>
        <w:rPr>
          <w:rFonts w:eastAsia="MS Mincho"/>
        </w:rPr>
      </w:pPr>
      <w:r>
        <w:rPr>
          <w:rFonts w:eastAsia="MS Mincho"/>
        </w:rPr>
        <w:br w:type="page"/>
      </w:r>
    </w:p>
    <w:p w:rsidR="002A03C0" w:rsidRDefault="004872F1">
      <w:pPr>
        <w:spacing w:after="0" w:line="240" w:lineRule="auto"/>
        <w:rPr>
          <w:rFonts w:eastAsia="MS Mincho"/>
        </w:rPr>
      </w:pPr>
    </w:p>
    <w:p w:rsidR="002A03C0" w:rsidRDefault="004872F1">
      <w:pPr>
        <w:spacing w:after="0" w:line="240" w:lineRule="auto"/>
        <w:rPr>
          <w:rFonts w:eastAsia="MS Mincho"/>
        </w:rPr>
      </w:pPr>
    </w:p>
    <w:tbl>
      <w:tblPr>
        <w:tblStyle w:val="GridTable2-Accent612"/>
        <w:tblW w:w="2876" w:type="pct"/>
        <w:jc w:val="center"/>
        <w:tblLook w:val="04A0" w:firstRow="1" w:lastRow="0" w:firstColumn="1" w:lastColumn="0" w:noHBand="0" w:noVBand="1"/>
        <w:tblCaption w:val="Financial Commitments"/>
      </w:tblPr>
      <w:tblGrid>
        <w:gridCol w:w="4584"/>
        <w:gridCol w:w="1609"/>
      </w:tblGrid>
      <w:tr w:rsidR="003360A1" w:rsidTr="003360A1">
        <w:trPr>
          <w:cnfStyle w:val="100000000000" w:firstRow="1" w:lastRow="0" w:firstColumn="0" w:lastColumn="0" w:oddVBand="0" w:evenVBand="0" w:oddHBand="0" w:evenHBand="0" w:firstRowFirstColumn="0" w:firstRowLastColumn="0" w:lastRowFirstColumn="0" w:lastRowLastColumn="0"/>
          <w:trHeight w:hRule="exact" w:val="454"/>
          <w:tblHeader/>
          <w:jc w:val="center"/>
        </w:trPr>
        <w:tc>
          <w:tcPr>
            <w:cnfStyle w:val="001000000000" w:firstRow="0" w:lastRow="0" w:firstColumn="1" w:lastColumn="0" w:oddVBand="0" w:evenVBand="0" w:oddHBand="0" w:evenHBand="0" w:firstRowFirstColumn="0" w:firstRowLastColumn="0" w:lastRowFirstColumn="0" w:lastRowLastColumn="0"/>
            <w:tcW w:w="3701" w:type="pct"/>
            <w:shd w:val="clear" w:color="auto" w:fill="106CB5"/>
            <w:vAlign w:val="center"/>
            <w:hideMark/>
          </w:tcPr>
          <w:p w:rsidR="002A03C0" w:rsidRDefault="00B5111D">
            <w:pPr>
              <w:spacing w:before="40" w:after="40" w:line="240" w:lineRule="auto"/>
              <w:rPr>
                <w:rFonts w:eastAsia="MS Mincho" w:cs="Times New Roman"/>
                <w:color w:val="FFFFFF"/>
                <w:szCs w:val="22"/>
                <w:lang w:val="en-US"/>
              </w:rPr>
            </w:pPr>
            <w:r>
              <w:rPr>
                <w:rFonts w:eastAsia="MS Mincho" w:cs="Times New Roman"/>
                <w:b w:val="0"/>
                <w:bCs w:val="0"/>
                <w:color w:val="FFFFFF"/>
                <w:szCs w:val="22"/>
                <w:lang w:val="en-US"/>
              </w:rPr>
              <w:t>Financial Commitments</w:t>
            </w:r>
          </w:p>
        </w:tc>
        <w:tc>
          <w:tcPr>
            <w:tcW w:w="1299" w:type="pct"/>
            <w:shd w:val="clear" w:color="auto" w:fill="106CB5"/>
            <w:vAlign w:val="center"/>
            <w:hideMark/>
          </w:tcPr>
          <w:p w:rsidR="002A03C0" w:rsidRDefault="00B5111D">
            <w:pPr>
              <w:spacing w:before="40" w:after="40" w:line="240" w:lineRule="auto"/>
              <w:jc w:val="right"/>
              <w:cnfStyle w:val="100000000000" w:firstRow="1" w:lastRow="0" w:firstColumn="0" w:lastColumn="0" w:oddVBand="0" w:evenVBand="0" w:oddHBand="0" w:evenHBand="0" w:firstRowFirstColumn="0" w:firstRowLastColumn="0" w:lastRowFirstColumn="0" w:lastRowLastColumn="0"/>
              <w:rPr>
                <w:rFonts w:eastAsia="MS Mincho" w:cs="Times New Roman"/>
                <w:color w:val="FFFFFF"/>
                <w:szCs w:val="22"/>
                <w:lang w:val="en-US"/>
              </w:rPr>
            </w:pPr>
            <w:r>
              <w:rPr>
                <w:rFonts w:eastAsia="MS Mincho" w:cs="Times New Roman"/>
                <w:b w:val="0"/>
                <w:bCs w:val="0"/>
                <w:color w:val="FFFFFF"/>
                <w:szCs w:val="22"/>
                <w:lang w:val="en-US"/>
              </w:rPr>
              <w:t>Actual</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701" w:type="pct"/>
            <w:tcBorders>
              <w:top w:val="single" w:sz="12" w:space="0" w:color="FFFFFF"/>
              <w:bottom w:val="nil"/>
              <w:right w:val="single" w:sz="4" w:space="0" w:color="FFFFFF"/>
            </w:tcBorders>
            <w:shd w:val="clear" w:color="auto" w:fill="D9D9D9"/>
            <w:noWrap/>
            <w:vAlign w:val="center"/>
            <w:hideMark/>
          </w:tcPr>
          <w:p w:rsidR="002A03C0" w:rsidRDefault="00B5111D">
            <w:pPr>
              <w:spacing w:before="40" w:after="40" w:line="240" w:lineRule="auto"/>
              <w:rPr>
                <w:rFonts w:eastAsia="MS Mincho" w:cs="Times New Roman"/>
                <w:szCs w:val="22"/>
                <w:lang w:val="en-US"/>
              </w:rPr>
            </w:pPr>
            <w:r>
              <w:rPr>
                <w:rFonts w:eastAsia="MS Mincho" w:cs="Times New Roman"/>
                <w:b w:val="0"/>
                <w:bCs w:val="0"/>
                <w:szCs w:val="22"/>
                <w:lang w:val="en-US"/>
              </w:rPr>
              <w:t>Operating Reserve</w:t>
            </w:r>
          </w:p>
        </w:tc>
        <w:tc>
          <w:tcPr>
            <w:tcW w:w="1299" w:type="pct"/>
            <w:tcBorders>
              <w:top w:val="single" w:sz="12" w:space="0" w:color="FFFFFF"/>
              <w:left w:val="single" w:sz="4" w:space="0" w:color="FFFFFF"/>
              <w:bottom w:val="nil"/>
            </w:tcBorders>
            <w:shd w:val="clear" w:color="auto" w:fill="D9D9D9"/>
            <w:noWrap/>
            <w:vAlign w:val="center"/>
          </w:tcPr>
          <w:p w:rsidR="002A03C0" w:rsidRDefault="00B5111D">
            <w:pPr>
              <w:jc w:val="right"/>
              <w:cnfStyle w:val="000000100000" w:firstRow="0" w:lastRow="0" w:firstColumn="0" w:lastColumn="0" w:oddVBand="0" w:evenVBand="0" w:oddHBand="1" w:evenHBand="0" w:firstRowFirstColumn="0" w:firstRowLastColumn="0" w:lastRowFirstColumn="0" w:lastRowLastColumn="0"/>
            </w:pPr>
            <w:r>
              <w:t>$10,000</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701" w:type="pct"/>
            <w:tcBorders>
              <w:top w:val="nil"/>
              <w:bottom w:val="nil"/>
              <w:right w:val="single" w:sz="4" w:space="0" w:color="FFFFFF"/>
            </w:tcBorders>
            <w:noWrap/>
          </w:tcPr>
          <w:p w:rsidR="00A55600" w:rsidRDefault="00B5111D" w:rsidP="00A55600">
            <w:pPr>
              <w:spacing w:before="40" w:after="40" w:line="240" w:lineRule="auto"/>
              <w:rPr>
                <w:rFonts w:eastAsia="MS Mincho" w:cs="Times New Roman"/>
                <w:szCs w:val="22"/>
                <w:lang w:val="en-US"/>
              </w:rPr>
            </w:pPr>
            <w:r w:rsidRPr="0079002D">
              <w:rPr>
                <w:b w:val="0"/>
                <w:lang w:val="en-US"/>
              </w:rPr>
              <w:t>Other Recurrent Expenditure</w:t>
            </w:r>
          </w:p>
        </w:tc>
        <w:tc>
          <w:tcPr>
            <w:tcW w:w="1299" w:type="pct"/>
            <w:tcBorders>
              <w:top w:val="nil"/>
              <w:left w:val="single" w:sz="4" w:space="0" w:color="FFFFFF"/>
              <w:bottom w:val="nil"/>
            </w:tcBorders>
            <w:noWrap/>
            <w:vAlign w:val="center"/>
          </w:tcPr>
          <w:p w:rsidR="00A55600" w:rsidRDefault="00B5111D" w:rsidP="00A55600">
            <w:pPr>
              <w:jc w:val="right"/>
              <w:cnfStyle w:val="000000000000" w:firstRow="0" w:lastRow="0" w:firstColumn="0" w:lastColumn="0" w:oddVBand="0" w:evenVBand="0" w:oddHBand="0" w:evenHBand="0" w:firstRowFirstColumn="0" w:firstRowLastColumn="0" w:lastRowFirstColumn="0" w:lastRowLastColumn="0"/>
            </w:pPr>
            <w:r>
              <w:t>$7,418</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701" w:type="pct"/>
            <w:tcBorders>
              <w:top w:val="nil"/>
              <w:bottom w:val="nil"/>
              <w:right w:val="single" w:sz="4" w:space="0" w:color="FFFFFF"/>
            </w:tcBorders>
            <w:shd w:val="clear" w:color="auto" w:fill="D9D9D9"/>
            <w:noWrap/>
          </w:tcPr>
          <w:p w:rsidR="00A55600" w:rsidRDefault="00B5111D" w:rsidP="00A55600">
            <w:pPr>
              <w:spacing w:before="40" w:after="40" w:line="240" w:lineRule="auto"/>
              <w:rPr>
                <w:rFonts w:eastAsia="MS Mincho" w:cs="Times New Roman"/>
                <w:szCs w:val="22"/>
                <w:lang w:val="en-US"/>
              </w:rPr>
            </w:pPr>
            <w:r w:rsidRPr="0079002D">
              <w:rPr>
                <w:b w:val="0"/>
                <w:lang w:val="en-US"/>
              </w:rPr>
              <w:t>Provision Accounts</w:t>
            </w:r>
          </w:p>
        </w:tc>
        <w:tc>
          <w:tcPr>
            <w:tcW w:w="1299" w:type="pct"/>
            <w:tcBorders>
              <w:top w:val="nil"/>
              <w:left w:val="single" w:sz="4" w:space="0" w:color="FFFFFF"/>
              <w:bottom w:val="nil"/>
            </w:tcBorders>
            <w:shd w:val="clear" w:color="auto" w:fill="D9D9D9"/>
            <w:noWrap/>
            <w:vAlign w:val="center"/>
          </w:tcPr>
          <w:p w:rsidR="00A55600" w:rsidRDefault="00B5111D" w:rsidP="00A55600">
            <w:pPr>
              <w:jc w:val="right"/>
              <w:cnfStyle w:val="000000100000" w:firstRow="0" w:lastRow="0" w:firstColumn="0" w:lastColumn="0" w:oddVBand="0" w:evenVBand="0" w:oddHBand="1" w:evenHBand="0" w:firstRowFirstColumn="0" w:firstRowLastColumn="0" w:lastRowFirstColumn="0" w:lastRowLastColumn="0"/>
            </w:pPr>
            <w:r>
              <w:t>$0</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701" w:type="pct"/>
            <w:tcBorders>
              <w:top w:val="nil"/>
              <w:bottom w:val="nil"/>
              <w:right w:val="single" w:sz="4" w:space="0" w:color="FFFFFF"/>
            </w:tcBorders>
            <w:shd w:val="clear" w:color="auto" w:fill="auto"/>
            <w:noWrap/>
          </w:tcPr>
          <w:p w:rsidR="00A55600" w:rsidRDefault="00B5111D" w:rsidP="00A55600">
            <w:pPr>
              <w:spacing w:before="40" w:after="40" w:line="240" w:lineRule="auto"/>
              <w:rPr>
                <w:rFonts w:eastAsia="MS Mincho" w:cs="Times New Roman"/>
                <w:szCs w:val="22"/>
                <w:lang w:val="en-US"/>
              </w:rPr>
            </w:pPr>
            <w:r w:rsidRPr="0079002D">
              <w:rPr>
                <w:b w:val="0"/>
                <w:lang w:val="en-US"/>
              </w:rPr>
              <w:t>Funds Received in Advance</w:t>
            </w:r>
          </w:p>
        </w:tc>
        <w:tc>
          <w:tcPr>
            <w:tcW w:w="1299" w:type="pct"/>
            <w:tcBorders>
              <w:top w:val="nil"/>
              <w:left w:val="single" w:sz="4" w:space="0" w:color="FFFFFF"/>
              <w:bottom w:val="nil"/>
            </w:tcBorders>
            <w:shd w:val="clear" w:color="auto" w:fill="auto"/>
            <w:noWrap/>
            <w:vAlign w:val="center"/>
          </w:tcPr>
          <w:p w:rsidR="00A55600" w:rsidRDefault="00B5111D" w:rsidP="00A55600">
            <w:pPr>
              <w:jc w:val="right"/>
              <w:cnfStyle w:val="000000000000" w:firstRow="0" w:lastRow="0" w:firstColumn="0" w:lastColumn="0" w:oddVBand="0" w:evenVBand="0" w:oddHBand="0" w:evenHBand="0" w:firstRowFirstColumn="0" w:firstRowLastColumn="0" w:lastRowFirstColumn="0" w:lastRowLastColumn="0"/>
            </w:pPr>
            <w:r>
              <w:t>$994</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701" w:type="pct"/>
            <w:tcBorders>
              <w:top w:val="nil"/>
              <w:bottom w:val="nil"/>
              <w:right w:val="single" w:sz="4" w:space="0" w:color="FFFFFF"/>
            </w:tcBorders>
            <w:shd w:val="clear" w:color="auto" w:fill="DBD9D6"/>
            <w:noWrap/>
          </w:tcPr>
          <w:p w:rsidR="00A55600" w:rsidRDefault="00B5111D" w:rsidP="00A55600">
            <w:pPr>
              <w:spacing w:before="40" w:after="40" w:line="240" w:lineRule="auto"/>
              <w:rPr>
                <w:rFonts w:eastAsia="MS Mincho" w:cs="Times New Roman"/>
                <w:szCs w:val="22"/>
                <w:lang w:val="en-US"/>
              </w:rPr>
            </w:pPr>
            <w:r w:rsidRPr="0079002D">
              <w:rPr>
                <w:b w:val="0"/>
                <w:lang w:val="en-US"/>
              </w:rPr>
              <w:t>School Based Programs</w:t>
            </w:r>
          </w:p>
        </w:tc>
        <w:tc>
          <w:tcPr>
            <w:tcW w:w="1299" w:type="pct"/>
            <w:tcBorders>
              <w:top w:val="nil"/>
              <w:left w:val="single" w:sz="4" w:space="0" w:color="FFFFFF"/>
              <w:bottom w:val="nil"/>
            </w:tcBorders>
            <w:shd w:val="clear" w:color="auto" w:fill="DBD9D6"/>
            <w:noWrap/>
            <w:vAlign w:val="center"/>
          </w:tcPr>
          <w:p w:rsidR="00A55600" w:rsidRDefault="00B5111D" w:rsidP="00A55600">
            <w:pPr>
              <w:jc w:val="right"/>
              <w:cnfStyle w:val="000000100000" w:firstRow="0" w:lastRow="0" w:firstColumn="0" w:lastColumn="0" w:oddVBand="0" w:evenVBand="0" w:oddHBand="1" w:evenHBand="0" w:firstRowFirstColumn="0" w:firstRowLastColumn="0" w:lastRowFirstColumn="0" w:lastRowLastColumn="0"/>
            </w:pPr>
            <w:r>
              <w:t>$2,000</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701" w:type="pct"/>
            <w:tcBorders>
              <w:top w:val="nil"/>
              <w:bottom w:val="nil"/>
              <w:right w:val="single" w:sz="4" w:space="0" w:color="FFFFFF"/>
            </w:tcBorders>
            <w:noWrap/>
          </w:tcPr>
          <w:p w:rsidR="00A55600" w:rsidRDefault="00B5111D" w:rsidP="00A55600">
            <w:pPr>
              <w:spacing w:before="40" w:after="40" w:line="240" w:lineRule="auto"/>
              <w:rPr>
                <w:rFonts w:eastAsia="MS Mincho" w:cs="Times New Roman"/>
                <w:szCs w:val="22"/>
                <w:lang w:val="en-US"/>
              </w:rPr>
            </w:pPr>
            <w:r w:rsidRPr="0079002D">
              <w:rPr>
                <w:b w:val="0"/>
                <w:lang w:val="en-US"/>
              </w:rPr>
              <w:t>Beneficiary/Memorial Accounts</w:t>
            </w:r>
          </w:p>
        </w:tc>
        <w:tc>
          <w:tcPr>
            <w:tcW w:w="1299" w:type="pct"/>
            <w:tcBorders>
              <w:top w:val="nil"/>
              <w:left w:val="single" w:sz="4" w:space="0" w:color="FFFFFF"/>
              <w:bottom w:val="nil"/>
            </w:tcBorders>
            <w:noWrap/>
            <w:vAlign w:val="center"/>
          </w:tcPr>
          <w:p w:rsidR="00A55600" w:rsidRDefault="00B5111D" w:rsidP="00A55600">
            <w:pPr>
              <w:jc w:val="right"/>
              <w:cnfStyle w:val="000000000000" w:firstRow="0" w:lastRow="0" w:firstColumn="0" w:lastColumn="0" w:oddVBand="0" w:evenVBand="0" w:oddHBand="0" w:evenHBand="0" w:firstRowFirstColumn="0" w:firstRowLastColumn="0" w:lastRowFirstColumn="0" w:lastRowLastColumn="0"/>
            </w:pPr>
            <w:r>
              <w:t>$0</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701" w:type="pct"/>
            <w:tcBorders>
              <w:top w:val="nil"/>
              <w:bottom w:val="nil"/>
              <w:right w:val="single" w:sz="4" w:space="0" w:color="FFFFFF"/>
            </w:tcBorders>
            <w:shd w:val="clear" w:color="auto" w:fill="D9D9D9"/>
            <w:noWrap/>
          </w:tcPr>
          <w:p w:rsidR="00A55600" w:rsidRDefault="00B5111D" w:rsidP="00A55600">
            <w:pPr>
              <w:spacing w:before="40" w:after="40" w:line="240" w:lineRule="auto"/>
              <w:rPr>
                <w:rFonts w:eastAsia="MS Mincho" w:cs="Times New Roman"/>
                <w:szCs w:val="22"/>
                <w:lang w:val="en-US"/>
              </w:rPr>
            </w:pPr>
            <w:r w:rsidRPr="0079002D">
              <w:rPr>
                <w:b w:val="0"/>
                <w:lang w:val="en-US"/>
              </w:rPr>
              <w:t>Cooperative Bank Account</w:t>
            </w:r>
          </w:p>
        </w:tc>
        <w:tc>
          <w:tcPr>
            <w:tcW w:w="1299" w:type="pct"/>
            <w:tcBorders>
              <w:top w:val="nil"/>
              <w:left w:val="single" w:sz="4" w:space="0" w:color="FFFFFF"/>
              <w:bottom w:val="nil"/>
            </w:tcBorders>
            <w:shd w:val="clear" w:color="auto" w:fill="D9D9D9"/>
            <w:noWrap/>
            <w:vAlign w:val="center"/>
          </w:tcPr>
          <w:p w:rsidR="00A55600" w:rsidRDefault="00B5111D" w:rsidP="00A55600">
            <w:pPr>
              <w:jc w:val="right"/>
              <w:cnfStyle w:val="000000100000" w:firstRow="0" w:lastRow="0" w:firstColumn="0" w:lastColumn="0" w:oddVBand="0" w:evenVBand="0" w:oddHBand="1" w:evenHBand="0" w:firstRowFirstColumn="0" w:firstRowLastColumn="0" w:lastRowFirstColumn="0" w:lastRowLastColumn="0"/>
            </w:pPr>
            <w:r>
              <w:t>$0</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701" w:type="pct"/>
            <w:tcBorders>
              <w:top w:val="nil"/>
              <w:bottom w:val="nil"/>
              <w:right w:val="single" w:sz="4" w:space="0" w:color="FFFFFF"/>
            </w:tcBorders>
            <w:noWrap/>
          </w:tcPr>
          <w:p w:rsidR="00A55600" w:rsidRDefault="00B5111D" w:rsidP="00A55600">
            <w:pPr>
              <w:spacing w:before="40" w:after="40" w:line="240" w:lineRule="auto"/>
              <w:rPr>
                <w:rFonts w:eastAsia="MS Mincho" w:cs="Times New Roman"/>
                <w:szCs w:val="22"/>
                <w:lang w:val="en-US"/>
              </w:rPr>
            </w:pPr>
            <w:r w:rsidRPr="0079002D">
              <w:rPr>
                <w:b w:val="0"/>
                <w:lang w:val="en-US"/>
              </w:rPr>
              <w:t>Funds for Committees/Shared Arrangements</w:t>
            </w:r>
          </w:p>
        </w:tc>
        <w:tc>
          <w:tcPr>
            <w:tcW w:w="1299" w:type="pct"/>
            <w:tcBorders>
              <w:top w:val="nil"/>
              <w:left w:val="single" w:sz="4" w:space="0" w:color="FFFFFF"/>
              <w:bottom w:val="nil"/>
            </w:tcBorders>
            <w:noWrap/>
            <w:vAlign w:val="center"/>
          </w:tcPr>
          <w:p w:rsidR="00A55600" w:rsidRDefault="00B5111D" w:rsidP="00A55600">
            <w:pPr>
              <w:jc w:val="right"/>
              <w:cnfStyle w:val="000000000000" w:firstRow="0" w:lastRow="0" w:firstColumn="0" w:lastColumn="0" w:oddVBand="0" w:evenVBand="0" w:oddHBand="0" w:evenHBand="0" w:firstRowFirstColumn="0" w:firstRowLastColumn="0" w:lastRowFirstColumn="0" w:lastRowLastColumn="0"/>
            </w:pPr>
            <w:r>
              <w:t>$5,500</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701" w:type="pct"/>
            <w:tcBorders>
              <w:top w:val="nil"/>
              <w:bottom w:val="nil"/>
              <w:right w:val="single" w:sz="4" w:space="0" w:color="FFFFFF"/>
            </w:tcBorders>
            <w:shd w:val="clear" w:color="auto" w:fill="D9D9D9"/>
            <w:noWrap/>
          </w:tcPr>
          <w:p w:rsidR="00A55600" w:rsidRDefault="00B5111D" w:rsidP="00A55600">
            <w:pPr>
              <w:spacing w:before="40" w:after="40" w:line="240" w:lineRule="auto"/>
              <w:rPr>
                <w:rFonts w:eastAsia="MS Mincho" w:cs="Times New Roman"/>
                <w:szCs w:val="22"/>
                <w:lang w:val="en-US"/>
              </w:rPr>
            </w:pPr>
            <w:r w:rsidRPr="0079002D">
              <w:rPr>
                <w:b w:val="0"/>
                <w:lang w:val="en-US"/>
              </w:rPr>
              <w:t>Repayable to the Department</w:t>
            </w:r>
          </w:p>
        </w:tc>
        <w:tc>
          <w:tcPr>
            <w:tcW w:w="1299" w:type="pct"/>
            <w:tcBorders>
              <w:top w:val="nil"/>
              <w:left w:val="single" w:sz="4" w:space="0" w:color="FFFFFF"/>
              <w:bottom w:val="nil"/>
            </w:tcBorders>
            <w:shd w:val="clear" w:color="auto" w:fill="D9D9D9"/>
            <w:noWrap/>
            <w:vAlign w:val="center"/>
          </w:tcPr>
          <w:p w:rsidR="00A55600" w:rsidRDefault="00B5111D" w:rsidP="00A55600">
            <w:pPr>
              <w:jc w:val="right"/>
              <w:cnfStyle w:val="000000100000" w:firstRow="0" w:lastRow="0" w:firstColumn="0" w:lastColumn="0" w:oddVBand="0" w:evenVBand="0" w:oddHBand="1" w:evenHBand="0" w:firstRowFirstColumn="0" w:firstRowLastColumn="0" w:lastRowFirstColumn="0" w:lastRowLastColumn="0"/>
            </w:pPr>
            <w:r>
              <w:t>$2,000</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701" w:type="pct"/>
            <w:tcBorders>
              <w:top w:val="nil"/>
              <w:bottom w:val="nil"/>
              <w:right w:val="single" w:sz="4" w:space="0" w:color="FFFFFF"/>
            </w:tcBorders>
            <w:noWrap/>
          </w:tcPr>
          <w:p w:rsidR="00A55600" w:rsidRDefault="00B5111D" w:rsidP="00A55600">
            <w:pPr>
              <w:spacing w:before="40" w:after="40" w:line="240" w:lineRule="auto"/>
              <w:rPr>
                <w:rFonts w:eastAsia="MS Mincho" w:cs="Times New Roman"/>
                <w:szCs w:val="22"/>
                <w:lang w:val="en-US"/>
              </w:rPr>
            </w:pPr>
            <w:r w:rsidRPr="0079002D">
              <w:rPr>
                <w:b w:val="0"/>
                <w:lang w:val="en-US"/>
              </w:rPr>
              <w:t>Asset/Equipment Replacement &lt; 12 months</w:t>
            </w:r>
          </w:p>
        </w:tc>
        <w:tc>
          <w:tcPr>
            <w:tcW w:w="1299" w:type="pct"/>
            <w:tcBorders>
              <w:top w:val="nil"/>
              <w:left w:val="single" w:sz="4" w:space="0" w:color="FFFFFF"/>
              <w:bottom w:val="nil"/>
            </w:tcBorders>
            <w:noWrap/>
            <w:vAlign w:val="center"/>
          </w:tcPr>
          <w:p w:rsidR="00A55600" w:rsidRDefault="00B5111D" w:rsidP="00A55600">
            <w:pPr>
              <w:jc w:val="right"/>
              <w:cnfStyle w:val="000000000000" w:firstRow="0" w:lastRow="0" w:firstColumn="0" w:lastColumn="0" w:oddVBand="0" w:evenVBand="0" w:oddHBand="0" w:evenHBand="0" w:firstRowFirstColumn="0" w:firstRowLastColumn="0" w:lastRowFirstColumn="0" w:lastRowLastColumn="0"/>
            </w:pPr>
            <w:r>
              <w:t>$12,717</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701" w:type="pct"/>
            <w:tcBorders>
              <w:top w:val="nil"/>
              <w:bottom w:val="nil"/>
              <w:right w:val="single" w:sz="4" w:space="0" w:color="FFFFFF"/>
            </w:tcBorders>
            <w:shd w:val="clear" w:color="auto" w:fill="D9D9D9"/>
            <w:noWrap/>
          </w:tcPr>
          <w:p w:rsidR="00A55600" w:rsidRDefault="00B5111D" w:rsidP="00A55600">
            <w:pPr>
              <w:spacing w:before="40" w:after="40" w:line="240" w:lineRule="auto"/>
              <w:rPr>
                <w:rFonts w:eastAsia="MS Mincho" w:cs="Times New Roman"/>
                <w:szCs w:val="22"/>
                <w:lang w:val="en-US"/>
              </w:rPr>
            </w:pPr>
            <w:r w:rsidRPr="0079002D">
              <w:rPr>
                <w:b w:val="0"/>
                <w:lang w:val="en-US"/>
              </w:rPr>
              <w:t>Capital - Buildings/Grounds &lt; 12 months</w:t>
            </w:r>
          </w:p>
        </w:tc>
        <w:tc>
          <w:tcPr>
            <w:tcW w:w="1299" w:type="pct"/>
            <w:tcBorders>
              <w:top w:val="nil"/>
              <w:left w:val="single" w:sz="4" w:space="0" w:color="FFFFFF"/>
              <w:bottom w:val="nil"/>
            </w:tcBorders>
            <w:shd w:val="clear" w:color="auto" w:fill="D9D9D9"/>
            <w:noWrap/>
            <w:vAlign w:val="center"/>
          </w:tcPr>
          <w:p w:rsidR="00A55600" w:rsidRDefault="00B5111D" w:rsidP="00A55600">
            <w:pPr>
              <w:jc w:val="right"/>
              <w:cnfStyle w:val="000000100000" w:firstRow="0" w:lastRow="0" w:firstColumn="0" w:lastColumn="0" w:oddVBand="0" w:evenVBand="0" w:oddHBand="1" w:evenHBand="0" w:firstRowFirstColumn="0" w:firstRowLastColumn="0" w:lastRowFirstColumn="0" w:lastRowLastColumn="0"/>
            </w:pPr>
            <w:r>
              <w:t>$0</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701" w:type="pct"/>
            <w:tcBorders>
              <w:top w:val="nil"/>
              <w:bottom w:val="nil"/>
              <w:right w:val="single" w:sz="4" w:space="0" w:color="FFFFFF"/>
            </w:tcBorders>
            <w:noWrap/>
          </w:tcPr>
          <w:p w:rsidR="00A55600" w:rsidRDefault="00B5111D" w:rsidP="00A55600">
            <w:pPr>
              <w:spacing w:before="40" w:after="40" w:line="240" w:lineRule="auto"/>
              <w:rPr>
                <w:rFonts w:eastAsia="MS Mincho" w:cs="Times New Roman"/>
                <w:szCs w:val="22"/>
                <w:lang w:val="en-US"/>
              </w:rPr>
            </w:pPr>
            <w:r w:rsidRPr="0079002D">
              <w:rPr>
                <w:b w:val="0"/>
                <w:lang w:val="en-US"/>
              </w:rPr>
              <w:t>Maintenance - Buildings/Grounds &lt; 12 months</w:t>
            </w:r>
          </w:p>
        </w:tc>
        <w:tc>
          <w:tcPr>
            <w:tcW w:w="1299" w:type="pct"/>
            <w:tcBorders>
              <w:top w:val="nil"/>
              <w:left w:val="single" w:sz="4" w:space="0" w:color="FFFFFF"/>
              <w:bottom w:val="nil"/>
            </w:tcBorders>
            <w:noWrap/>
            <w:vAlign w:val="center"/>
          </w:tcPr>
          <w:p w:rsidR="00A55600" w:rsidRDefault="00B5111D" w:rsidP="00A55600">
            <w:pPr>
              <w:jc w:val="right"/>
              <w:cnfStyle w:val="000000000000" w:firstRow="0" w:lastRow="0" w:firstColumn="0" w:lastColumn="0" w:oddVBand="0" w:evenVBand="0" w:oddHBand="0" w:evenHBand="0" w:firstRowFirstColumn="0" w:firstRowLastColumn="0" w:lastRowFirstColumn="0" w:lastRowLastColumn="0"/>
            </w:pPr>
            <w:r>
              <w:t>$14,531</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701" w:type="pct"/>
            <w:tcBorders>
              <w:top w:val="nil"/>
              <w:bottom w:val="nil"/>
              <w:right w:val="single" w:sz="4" w:space="0" w:color="FFFFFF"/>
            </w:tcBorders>
            <w:shd w:val="clear" w:color="auto" w:fill="D9D9D9"/>
            <w:noWrap/>
          </w:tcPr>
          <w:p w:rsidR="00A55600" w:rsidRDefault="00B5111D" w:rsidP="00A55600">
            <w:pPr>
              <w:spacing w:before="40" w:after="40" w:line="240" w:lineRule="auto"/>
              <w:rPr>
                <w:rFonts w:eastAsia="MS Mincho" w:cs="Times New Roman"/>
                <w:szCs w:val="22"/>
                <w:lang w:val="en-US"/>
              </w:rPr>
            </w:pPr>
            <w:r w:rsidRPr="0079002D">
              <w:rPr>
                <w:b w:val="0"/>
                <w:lang w:val="en-US"/>
              </w:rPr>
              <w:t>Asset/Equipment Replacement &gt; 12 months</w:t>
            </w:r>
          </w:p>
        </w:tc>
        <w:tc>
          <w:tcPr>
            <w:tcW w:w="1299" w:type="pct"/>
            <w:tcBorders>
              <w:top w:val="nil"/>
              <w:left w:val="single" w:sz="4" w:space="0" w:color="FFFFFF"/>
              <w:bottom w:val="nil"/>
            </w:tcBorders>
            <w:shd w:val="clear" w:color="auto" w:fill="D9D9D9"/>
            <w:noWrap/>
            <w:vAlign w:val="center"/>
          </w:tcPr>
          <w:p w:rsidR="00A55600" w:rsidRDefault="00B5111D" w:rsidP="00A55600">
            <w:pPr>
              <w:jc w:val="right"/>
              <w:cnfStyle w:val="000000100000" w:firstRow="0" w:lastRow="0" w:firstColumn="0" w:lastColumn="0" w:oddVBand="0" w:evenVBand="0" w:oddHBand="1" w:evenHBand="0" w:firstRowFirstColumn="0" w:firstRowLastColumn="0" w:lastRowFirstColumn="0" w:lastRowLastColumn="0"/>
            </w:pPr>
            <w:r>
              <w:t>$0</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701" w:type="pct"/>
            <w:tcBorders>
              <w:top w:val="nil"/>
              <w:bottom w:val="nil"/>
              <w:right w:val="single" w:sz="4" w:space="0" w:color="FFFFFF"/>
            </w:tcBorders>
            <w:shd w:val="clear" w:color="auto" w:fill="auto"/>
            <w:noWrap/>
          </w:tcPr>
          <w:p w:rsidR="00A55600" w:rsidRDefault="00B5111D" w:rsidP="00A55600">
            <w:pPr>
              <w:spacing w:before="40" w:after="40" w:line="240" w:lineRule="auto"/>
              <w:rPr>
                <w:rFonts w:eastAsia="MS Mincho" w:cs="Times New Roman"/>
                <w:szCs w:val="22"/>
                <w:lang w:val="en-US"/>
              </w:rPr>
            </w:pPr>
            <w:r w:rsidRPr="0079002D">
              <w:rPr>
                <w:b w:val="0"/>
                <w:lang w:val="en-US"/>
              </w:rPr>
              <w:t>Capital - Buildings/Grounds &gt; 12 months</w:t>
            </w:r>
          </w:p>
        </w:tc>
        <w:tc>
          <w:tcPr>
            <w:tcW w:w="1299" w:type="pct"/>
            <w:tcBorders>
              <w:top w:val="nil"/>
              <w:left w:val="single" w:sz="4" w:space="0" w:color="FFFFFF"/>
              <w:bottom w:val="nil"/>
            </w:tcBorders>
            <w:shd w:val="clear" w:color="auto" w:fill="auto"/>
            <w:noWrap/>
            <w:vAlign w:val="center"/>
          </w:tcPr>
          <w:p w:rsidR="00A55600" w:rsidRDefault="00B5111D" w:rsidP="00A55600">
            <w:pPr>
              <w:jc w:val="right"/>
              <w:cnfStyle w:val="000000000000" w:firstRow="0" w:lastRow="0" w:firstColumn="0" w:lastColumn="0" w:oddVBand="0" w:evenVBand="0" w:oddHBand="0" w:evenHBand="0" w:firstRowFirstColumn="0" w:firstRowLastColumn="0" w:lastRowFirstColumn="0" w:lastRowLastColumn="0"/>
            </w:pPr>
            <w:r>
              <w:t>$0</w:t>
            </w:r>
          </w:p>
        </w:tc>
      </w:tr>
      <w:tr w:rsidR="003360A1" w:rsidTr="003360A1">
        <w:trPr>
          <w:cnfStyle w:val="000000100000" w:firstRow="0" w:lastRow="0" w:firstColumn="0" w:lastColumn="0" w:oddVBand="0" w:evenVBand="0" w:oddHBand="1" w:evenHBand="0" w:firstRowFirstColumn="0" w:firstRowLastColumn="0" w:lastRowFirstColumn="0" w:lastRowLastColumn="0"/>
          <w:trHeight w:hRule="exact" w:val="284"/>
          <w:jc w:val="center"/>
        </w:trPr>
        <w:tc>
          <w:tcPr>
            <w:cnfStyle w:val="001000000000" w:firstRow="0" w:lastRow="0" w:firstColumn="1" w:lastColumn="0" w:oddVBand="0" w:evenVBand="0" w:oddHBand="0" w:evenHBand="0" w:firstRowFirstColumn="0" w:firstRowLastColumn="0" w:lastRowFirstColumn="0" w:lastRowLastColumn="0"/>
            <w:tcW w:w="3701" w:type="pct"/>
            <w:tcBorders>
              <w:top w:val="nil"/>
              <w:bottom w:val="nil"/>
              <w:right w:val="single" w:sz="4" w:space="0" w:color="FFFFFF"/>
            </w:tcBorders>
            <w:shd w:val="clear" w:color="auto" w:fill="D9D9D9"/>
            <w:noWrap/>
          </w:tcPr>
          <w:p w:rsidR="00A55600" w:rsidRDefault="00B5111D" w:rsidP="00A55600">
            <w:pPr>
              <w:spacing w:before="40" w:after="40" w:line="240" w:lineRule="auto"/>
              <w:rPr>
                <w:rFonts w:eastAsia="MS Mincho" w:cs="Times New Roman"/>
                <w:szCs w:val="22"/>
                <w:lang w:val="en-US"/>
              </w:rPr>
            </w:pPr>
            <w:r w:rsidRPr="0079002D">
              <w:rPr>
                <w:b w:val="0"/>
                <w:lang w:val="en-US"/>
              </w:rPr>
              <w:t>Maintenance - Buildings/Grounds &gt; 12 months</w:t>
            </w:r>
          </w:p>
        </w:tc>
        <w:tc>
          <w:tcPr>
            <w:tcW w:w="1299" w:type="pct"/>
            <w:tcBorders>
              <w:top w:val="nil"/>
              <w:left w:val="single" w:sz="4" w:space="0" w:color="FFFFFF"/>
              <w:bottom w:val="nil"/>
            </w:tcBorders>
            <w:shd w:val="clear" w:color="auto" w:fill="D9D9D9"/>
            <w:noWrap/>
            <w:vAlign w:val="center"/>
          </w:tcPr>
          <w:p w:rsidR="00A55600" w:rsidRDefault="00B5111D" w:rsidP="00A55600">
            <w:pPr>
              <w:jc w:val="right"/>
              <w:cnfStyle w:val="000000100000" w:firstRow="0" w:lastRow="0" w:firstColumn="0" w:lastColumn="0" w:oddVBand="0" w:evenVBand="0" w:oddHBand="1" w:evenHBand="0" w:firstRowFirstColumn="0" w:firstRowLastColumn="0" w:lastRowFirstColumn="0" w:lastRowLastColumn="0"/>
            </w:pPr>
            <w:r>
              <w:t>$0</w:t>
            </w:r>
          </w:p>
        </w:tc>
      </w:tr>
      <w:tr w:rsidR="003360A1" w:rsidTr="003360A1">
        <w:trPr>
          <w:trHeight w:hRule="exact" w:val="284"/>
          <w:jc w:val="center"/>
        </w:trPr>
        <w:tc>
          <w:tcPr>
            <w:cnfStyle w:val="001000000000" w:firstRow="0" w:lastRow="0" w:firstColumn="1" w:lastColumn="0" w:oddVBand="0" w:evenVBand="0" w:oddHBand="0" w:evenHBand="0" w:firstRowFirstColumn="0" w:firstRowLastColumn="0" w:lastRowFirstColumn="0" w:lastRowLastColumn="0"/>
            <w:tcW w:w="3701" w:type="pct"/>
            <w:tcBorders>
              <w:top w:val="single" w:sz="2" w:space="0" w:color="106CB5"/>
              <w:bottom w:val="single" w:sz="2" w:space="0" w:color="106CB5"/>
            </w:tcBorders>
            <w:noWrap/>
            <w:vAlign w:val="center"/>
            <w:hideMark/>
          </w:tcPr>
          <w:p w:rsidR="002A03C0" w:rsidRDefault="00B5111D">
            <w:pPr>
              <w:spacing w:before="40" w:after="40" w:line="240" w:lineRule="auto"/>
              <w:rPr>
                <w:rFonts w:eastAsia="MS Mincho" w:cs="Times New Roman"/>
                <w:szCs w:val="22"/>
                <w:lang w:val="en-US"/>
              </w:rPr>
            </w:pPr>
            <w:r>
              <w:rPr>
                <w:rFonts w:eastAsia="MS Mincho" w:cs="Times New Roman"/>
                <w:bCs w:val="0"/>
                <w:szCs w:val="22"/>
                <w:lang w:val="en-US"/>
              </w:rPr>
              <w:t>Total Financial Commitments</w:t>
            </w:r>
          </w:p>
        </w:tc>
        <w:tc>
          <w:tcPr>
            <w:tcW w:w="1299" w:type="pct"/>
            <w:tcBorders>
              <w:top w:val="single" w:sz="2" w:space="0" w:color="106CB5"/>
              <w:bottom w:val="single" w:sz="2" w:space="0" w:color="106CB5"/>
            </w:tcBorders>
            <w:noWrap/>
            <w:vAlign w:val="center"/>
          </w:tcPr>
          <w:p w:rsidR="002A03C0" w:rsidRDefault="00B5111D">
            <w:pPr>
              <w:jc w:val="right"/>
              <w:cnfStyle w:val="000000000000" w:firstRow="0" w:lastRow="0" w:firstColumn="0" w:lastColumn="0" w:oddVBand="0" w:evenVBand="0" w:oddHBand="0" w:evenHBand="0" w:firstRowFirstColumn="0" w:firstRowLastColumn="0" w:lastRowFirstColumn="0" w:lastRowLastColumn="0"/>
            </w:pPr>
            <w:r>
              <w:t>$55,160</w:t>
            </w:r>
          </w:p>
        </w:tc>
      </w:tr>
    </w:tbl>
    <w:p w:rsidR="002A03C0" w:rsidRDefault="004872F1">
      <w:pPr>
        <w:rPr>
          <w:rFonts w:eastAsia="MS Mincho"/>
        </w:rPr>
      </w:pPr>
    </w:p>
    <w:p w:rsidR="002A03C0" w:rsidRDefault="004872F1">
      <w:pPr>
        <w:rPr>
          <w:rFonts w:eastAsia="MS Mincho"/>
        </w:rPr>
      </w:pPr>
    </w:p>
    <w:p w:rsidR="002A03C0" w:rsidRDefault="00B5111D">
      <w:pPr>
        <w:numPr>
          <w:ilvl w:val="0"/>
          <w:numId w:val="28"/>
        </w:numPr>
        <w:spacing w:after="0" w:line="240" w:lineRule="auto"/>
        <w:contextualSpacing/>
        <w:rPr>
          <w:rFonts w:eastAsia="MS Mincho"/>
        </w:rPr>
      </w:pPr>
      <w:r>
        <w:rPr>
          <w:rFonts w:eastAsia="MS Mincho"/>
        </w:rPr>
        <w:t>The equity funding reported above is a subset of the overall revenue reported by the school.</w:t>
      </w:r>
    </w:p>
    <w:p w:rsidR="002A03C0" w:rsidRDefault="00B5111D">
      <w:pPr>
        <w:numPr>
          <w:ilvl w:val="0"/>
          <w:numId w:val="28"/>
        </w:numPr>
        <w:spacing w:after="0" w:line="240" w:lineRule="auto"/>
        <w:rPr>
          <w:rFonts w:eastAsia="MS Mincho"/>
        </w:rPr>
      </w:pPr>
      <w:r>
        <w:rPr>
          <w:rFonts w:eastAsia="MS Mincho"/>
        </w:rPr>
        <w:t>Student Resource Package Expenditure figures are as of 04 Mar 2019 and are subject to change during the reconciliation process.</w:t>
      </w:r>
    </w:p>
    <w:p w:rsidR="002A03C0" w:rsidRDefault="00B5111D">
      <w:pPr>
        <w:numPr>
          <w:ilvl w:val="0"/>
          <w:numId w:val="28"/>
        </w:numPr>
        <w:spacing w:after="0" w:line="240" w:lineRule="auto"/>
        <w:rPr>
          <w:rFonts w:eastAsia="MS Mincho"/>
        </w:rPr>
      </w:pPr>
      <w:r>
        <w:rPr>
          <w:rFonts w:eastAsia="MS Mincho"/>
        </w:rPr>
        <w:t xml:space="preserve">Misc Expenses may include bank charges, health and personal development, administration charges, camp/excursion costs and taxation charges. </w:t>
      </w:r>
    </w:p>
    <w:p w:rsidR="002A03C0" w:rsidRDefault="00B5111D">
      <w:pPr>
        <w:numPr>
          <w:ilvl w:val="0"/>
          <w:numId w:val="28"/>
        </w:numPr>
        <w:spacing w:line="240" w:lineRule="auto"/>
        <w:ind w:left="357" w:hanging="357"/>
        <w:rPr>
          <w:rFonts w:eastAsia="MS Mincho"/>
        </w:rPr>
      </w:pPr>
      <w:r>
        <w:rPr>
          <w:rFonts w:eastAsia="MS Mincho"/>
        </w:rPr>
        <w:t>Salaries and Allowances refers to school-level payroll.</w:t>
      </w:r>
    </w:p>
    <w:p w:rsidR="002A03C0" w:rsidRDefault="00B5111D">
      <w:pPr>
        <w:rPr>
          <w:rFonts w:eastAsia="MS Mincho"/>
          <w:i/>
        </w:rPr>
      </w:pPr>
      <w:r>
        <w:rPr>
          <w:rFonts w:eastAsia="MS Mincho"/>
          <w:i/>
        </w:rPr>
        <w:t>All funds received from the Department, or raised by the school, have been expended, or committed to subsequent years, to support the achievement of educational outcomes and other operational needs of the school, consistent with Department policies, School Council approvals and the intent/purposes for which funding was provided or raised.</w:t>
      </w:r>
    </w:p>
    <w:p w:rsidR="002A03C0" w:rsidRDefault="00B5111D">
      <w:pPr>
        <w:pStyle w:val="ESHeading1"/>
        <w:rPr>
          <w:b w:val="0"/>
          <w:color w:val="auto"/>
          <w:sz w:val="18"/>
          <w:szCs w:val="18"/>
        </w:rPr>
      </w:pPr>
      <w:r>
        <w:rPr>
          <w:b w:val="0"/>
        </w:rPr>
        <w:br w:type="page"/>
      </w:r>
    </w:p>
    <w:p w:rsidR="002A03C0" w:rsidRDefault="00B5111D">
      <w:pPr>
        <w:spacing w:line="340" w:lineRule="atLeast"/>
        <w:jc w:val="center"/>
        <w:outlineLvl w:val="0"/>
        <w:rPr>
          <w:rFonts w:eastAsia="MS Gothic" w:cs="Times New Roman"/>
          <w:b/>
          <w:spacing w:val="5"/>
          <w:kern w:val="28"/>
          <w:sz w:val="44"/>
          <w:szCs w:val="52"/>
        </w:rPr>
      </w:pPr>
      <w:r>
        <w:rPr>
          <w:rFonts w:eastAsia="MS Gothic" w:cs="Times New Roman"/>
          <w:b/>
          <w:spacing w:val="5"/>
          <w:kern w:val="28"/>
          <w:sz w:val="44"/>
          <w:szCs w:val="52"/>
        </w:rPr>
        <w:lastRenderedPageBreak/>
        <w:t>How to read the Annual Report</w:t>
      </w:r>
    </w:p>
    <w:p w:rsidR="002A03C0" w:rsidRDefault="00B5111D">
      <w:pPr>
        <w:spacing w:before="240"/>
        <w:rPr>
          <w:rFonts w:eastAsia="MS Gothic" w:cs="Times New Roman"/>
          <w:b/>
          <w:bCs/>
          <w:caps/>
          <w:color w:val="00008B"/>
          <w:sz w:val="20"/>
          <w:szCs w:val="20"/>
          <w:u w:val="single"/>
        </w:rPr>
      </w:pPr>
      <w:r>
        <w:rPr>
          <w:rFonts w:eastAsia="MS Gothic" w:cs="Times New Roman"/>
          <w:b/>
          <w:bCs/>
          <w:caps/>
          <w:color w:val="00008B"/>
          <w:sz w:val="20"/>
          <w:szCs w:val="20"/>
          <w:u w:val="single"/>
        </w:rPr>
        <w:t>What does the About Our School section refer to?</w:t>
      </w:r>
    </w:p>
    <w:p w:rsidR="00EF1DDC" w:rsidRDefault="00B5111D" w:rsidP="00EF1DDC">
      <w:pPr>
        <w:spacing w:after="0" w:line="240" w:lineRule="auto"/>
        <w:rPr>
          <w:rFonts w:eastAsia="MS Mincho"/>
        </w:rPr>
      </w:pPr>
      <w:r>
        <w:rPr>
          <w:rFonts w:eastAsia="MS Mincho"/>
        </w:rPr>
        <w:t>The About Our School page provides a brief background on the school, an outline of the school’s performance over the year and</w:t>
      </w:r>
    </w:p>
    <w:p w:rsidR="002A03C0" w:rsidRDefault="00B5111D">
      <w:pPr>
        <w:rPr>
          <w:rFonts w:eastAsia="MS Mincho"/>
        </w:rPr>
      </w:pPr>
      <w:r>
        <w:rPr>
          <w:rFonts w:eastAsia="MS Mincho"/>
        </w:rPr>
        <w:t>plans for the future.</w:t>
      </w:r>
    </w:p>
    <w:p w:rsidR="002A03C0" w:rsidRDefault="00B5111D">
      <w:pPr>
        <w:rPr>
          <w:rFonts w:eastAsia="MS Mincho"/>
        </w:rPr>
      </w:pPr>
      <w:r>
        <w:rPr>
          <w:rFonts w:eastAsia="MS Mincho"/>
        </w:rPr>
        <w:t>The ‘School Context’ describes the school’s vision, values and purpose. Details include the school’s geographic location, size and structure, social characteristics, enrolment characteristics and special programs.</w:t>
      </w:r>
    </w:p>
    <w:p w:rsidR="002A03C0" w:rsidRDefault="00B5111D">
      <w:pPr>
        <w:rPr>
          <w:rFonts w:eastAsia="MS Mincho"/>
        </w:rPr>
      </w:pPr>
      <w:r>
        <w:rPr>
          <w:rFonts w:eastAsia="MS Mincho"/>
        </w:rPr>
        <w:t xml:space="preserve">The ‘Framework for Improving Student Outcomes (FISO)’ section includes the improvement initiatives the school has selected and the progress they have made towards achieving them.  </w:t>
      </w:r>
    </w:p>
    <w:p w:rsidR="002A03C0" w:rsidRDefault="00B5111D">
      <w:pPr>
        <w:rPr>
          <w:rFonts w:eastAsia="MS Gothic" w:cs="Times New Roman"/>
          <w:b/>
          <w:bCs/>
          <w:caps/>
          <w:color w:val="00008B"/>
          <w:sz w:val="20"/>
          <w:szCs w:val="20"/>
          <w:u w:val="single"/>
        </w:rPr>
      </w:pPr>
      <w:r>
        <w:rPr>
          <w:rFonts w:eastAsia="MS Gothic" w:cs="Times New Roman"/>
          <w:b/>
          <w:bCs/>
          <w:caps/>
          <w:color w:val="00008B"/>
          <w:sz w:val="20"/>
          <w:szCs w:val="20"/>
          <w:u w:val="single"/>
        </w:rPr>
        <w:t xml:space="preserve">What does the </w:t>
      </w:r>
      <w:r>
        <w:rPr>
          <w:rFonts w:eastAsia="MS Gothic" w:cs="Times New Roman"/>
          <w:b/>
          <w:bCs/>
          <w:i/>
          <w:caps/>
          <w:color w:val="00008B"/>
          <w:sz w:val="20"/>
          <w:szCs w:val="20"/>
          <w:u w:val="single"/>
        </w:rPr>
        <w:t>Performance Summary</w:t>
      </w:r>
      <w:r>
        <w:rPr>
          <w:rFonts w:eastAsia="MS Gothic" w:cs="Times New Roman"/>
          <w:b/>
          <w:bCs/>
          <w:caps/>
          <w:color w:val="00008B"/>
          <w:sz w:val="20"/>
          <w:szCs w:val="20"/>
          <w:u w:val="single"/>
        </w:rPr>
        <w:t xml:space="preserve"> section of this report refer to?</w:t>
      </w:r>
    </w:p>
    <w:p w:rsidR="002A03C0" w:rsidRDefault="00B5111D">
      <w:pPr>
        <w:spacing w:after="0" w:line="276" w:lineRule="auto"/>
        <w:rPr>
          <w:rFonts w:eastAsia="Arial" w:cs="Times New Roman"/>
          <w:color w:val="000000"/>
          <w:szCs w:val="20"/>
        </w:rPr>
      </w:pPr>
      <w:r>
        <w:rPr>
          <w:rFonts w:eastAsia="Arial" w:cs="Times New Roman"/>
          <w:color w:val="000000"/>
          <w:szCs w:val="20"/>
        </w:rPr>
        <w:t>The Performance Summary reports on data in three key areas:</w:t>
      </w:r>
    </w:p>
    <w:p w:rsidR="002A03C0" w:rsidRDefault="00B5111D">
      <w:pPr>
        <w:spacing w:before="120" w:after="0" w:line="276" w:lineRule="auto"/>
        <w:rPr>
          <w:rFonts w:eastAsia="Arial" w:cs="Times New Roman"/>
          <w:b/>
          <w:color w:val="000000"/>
          <w:szCs w:val="20"/>
        </w:rPr>
      </w:pPr>
      <w:r>
        <w:rPr>
          <w:rFonts w:eastAsia="Arial" w:cs="Times New Roman"/>
          <w:b/>
          <w:color w:val="000000"/>
          <w:szCs w:val="20"/>
        </w:rPr>
        <w:t>Achievement</w:t>
      </w:r>
    </w:p>
    <w:p w:rsidR="002A03C0" w:rsidRDefault="00B5111D">
      <w:pPr>
        <w:numPr>
          <w:ilvl w:val="0"/>
          <w:numId w:val="29"/>
        </w:numPr>
        <w:spacing w:after="0" w:line="276" w:lineRule="auto"/>
        <w:rPr>
          <w:rFonts w:eastAsia="Arial" w:cs="Times New Roman"/>
          <w:color w:val="000000"/>
          <w:szCs w:val="20"/>
        </w:rPr>
      </w:pPr>
      <w:r>
        <w:rPr>
          <w:rFonts w:eastAsia="Arial" w:cs="Times New Roman"/>
          <w:color w:val="000000"/>
          <w:szCs w:val="20"/>
        </w:rPr>
        <w:t>student achievements in:</w:t>
      </w:r>
    </w:p>
    <w:p w:rsidR="002A03C0" w:rsidRDefault="00B5111D">
      <w:pPr>
        <w:numPr>
          <w:ilvl w:val="0"/>
          <w:numId w:val="30"/>
        </w:numPr>
        <w:spacing w:after="0" w:line="276" w:lineRule="auto"/>
        <w:contextualSpacing/>
        <w:rPr>
          <w:rFonts w:eastAsia="Arial" w:cs="Times New Roman"/>
          <w:color w:val="000000"/>
          <w:szCs w:val="20"/>
        </w:rPr>
      </w:pPr>
      <w:r>
        <w:rPr>
          <w:rFonts w:eastAsia="Arial" w:cs="Times New Roman"/>
          <w:color w:val="000000"/>
          <w:szCs w:val="20"/>
        </w:rPr>
        <w:t>English and Mathematics for National Literacy and Numeracy tests (NAPLAN)</w:t>
      </w:r>
    </w:p>
    <w:p w:rsidR="002A03C0" w:rsidRDefault="00B5111D">
      <w:pPr>
        <w:numPr>
          <w:ilvl w:val="0"/>
          <w:numId w:val="30"/>
        </w:numPr>
        <w:spacing w:after="0" w:line="276" w:lineRule="auto"/>
        <w:contextualSpacing/>
        <w:rPr>
          <w:rFonts w:eastAsia="Arial" w:cs="Times New Roman"/>
          <w:color w:val="000000"/>
          <w:szCs w:val="20"/>
        </w:rPr>
      </w:pPr>
      <w:r>
        <w:rPr>
          <w:rFonts w:eastAsia="Arial" w:cs="Times New Roman"/>
          <w:color w:val="000000"/>
          <w:szCs w:val="20"/>
        </w:rPr>
        <w:t>English and Mathematics for Teacher Judgements against the curriculum</w:t>
      </w:r>
    </w:p>
    <w:p w:rsidR="002A03C0" w:rsidRDefault="00B5111D">
      <w:pPr>
        <w:numPr>
          <w:ilvl w:val="0"/>
          <w:numId w:val="30"/>
        </w:numPr>
        <w:spacing w:after="0" w:line="276" w:lineRule="auto"/>
        <w:contextualSpacing/>
        <w:rPr>
          <w:rFonts w:eastAsia="Arial" w:cs="Times New Roman"/>
          <w:color w:val="000000"/>
          <w:szCs w:val="20"/>
        </w:rPr>
      </w:pPr>
      <w:r>
        <w:rPr>
          <w:rFonts w:eastAsia="Arial" w:cs="Times New Roman"/>
          <w:color w:val="000000"/>
          <w:szCs w:val="20"/>
        </w:rPr>
        <w:t>All subjects for Victorian Certificate of Education (VCE) examinations (secondary schools).</w:t>
      </w:r>
    </w:p>
    <w:p w:rsidR="002A03C0" w:rsidRDefault="00B5111D">
      <w:pPr>
        <w:spacing w:before="120" w:after="0" w:line="276" w:lineRule="auto"/>
        <w:rPr>
          <w:rFonts w:eastAsia="Arial" w:cs="Times New Roman"/>
          <w:b/>
          <w:color w:val="000000"/>
          <w:szCs w:val="20"/>
        </w:rPr>
      </w:pPr>
      <w:r>
        <w:rPr>
          <w:rFonts w:eastAsia="Arial" w:cs="Times New Roman"/>
          <w:b/>
          <w:color w:val="000000"/>
          <w:szCs w:val="20"/>
        </w:rPr>
        <w:t>Engagement</w:t>
      </w:r>
    </w:p>
    <w:p w:rsidR="002A03C0" w:rsidRDefault="00B5111D">
      <w:pPr>
        <w:numPr>
          <w:ilvl w:val="0"/>
          <w:numId w:val="29"/>
        </w:numPr>
        <w:spacing w:after="0" w:line="276" w:lineRule="auto"/>
        <w:rPr>
          <w:rFonts w:eastAsia="Arial" w:cs="Times New Roman"/>
          <w:color w:val="000000"/>
          <w:szCs w:val="20"/>
        </w:rPr>
      </w:pPr>
      <w:r>
        <w:rPr>
          <w:rFonts w:eastAsia="Arial" w:cs="Times New Roman"/>
          <w:color w:val="000000"/>
          <w:szCs w:val="20"/>
        </w:rPr>
        <w:t>student attendance and engagement at school, including:</w:t>
      </w:r>
    </w:p>
    <w:p w:rsidR="002A03C0" w:rsidRDefault="00B5111D">
      <w:pPr>
        <w:numPr>
          <w:ilvl w:val="0"/>
          <w:numId w:val="30"/>
        </w:numPr>
        <w:spacing w:after="0" w:line="276" w:lineRule="auto"/>
        <w:contextualSpacing/>
        <w:rPr>
          <w:rFonts w:eastAsia="Arial" w:cs="Times New Roman"/>
          <w:color w:val="000000"/>
          <w:szCs w:val="20"/>
        </w:rPr>
      </w:pPr>
      <w:r>
        <w:rPr>
          <w:rFonts w:eastAsia="Arial" w:cs="Times New Roman"/>
          <w:color w:val="000000"/>
          <w:szCs w:val="20"/>
        </w:rPr>
        <w:t>how many students leaving school go on to further studies or full-time work (secondary, P-12 and specialist schools)</w:t>
      </w:r>
    </w:p>
    <w:p w:rsidR="002A03C0" w:rsidRDefault="00B5111D">
      <w:pPr>
        <w:spacing w:before="120" w:after="0" w:line="276" w:lineRule="auto"/>
        <w:rPr>
          <w:rFonts w:eastAsia="Arial" w:cs="Times New Roman"/>
          <w:b/>
          <w:color w:val="000000"/>
          <w:szCs w:val="20"/>
        </w:rPr>
      </w:pPr>
      <w:r>
        <w:rPr>
          <w:rFonts w:eastAsia="Arial" w:cs="Times New Roman"/>
          <w:b/>
          <w:color w:val="000000"/>
          <w:szCs w:val="20"/>
        </w:rPr>
        <w:t>Wellbeing</w:t>
      </w:r>
    </w:p>
    <w:p w:rsidR="002A03C0" w:rsidRDefault="00B5111D">
      <w:pPr>
        <w:numPr>
          <w:ilvl w:val="0"/>
          <w:numId w:val="31"/>
        </w:numPr>
        <w:spacing w:after="0" w:line="276" w:lineRule="auto"/>
        <w:rPr>
          <w:rFonts w:eastAsia="Arial" w:cs="Times New Roman"/>
          <w:color w:val="000000"/>
          <w:szCs w:val="20"/>
        </w:rPr>
      </w:pPr>
      <w:r>
        <w:rPr>
          <w:rFonts w:eastAsia="Arial" w:cs="Times New Roman"/>
          <w:color w:val="000000"/>
          <w:szCs w:val="20"/>
        </w:rPr>
        <w:t>Attitudes to School Survey (ATOSS) factors:</w:t>
      </w:r>
    </w:p>
    <w:p w:rsidR="002A03C0" w:rsidRDefault="00B5111D">
      <w:pPr>
        <w:numPr>
          <w:ilvl w:val="1"/>
          <w:numId w:val="32"/>
        </w:numPr>
        <w:spacing w:after="0" w:line="276" w:lineRule="auto"/>
        <w:rPr>
          <w:rFonts w:eastAsia="Arial" w:cs="Times New Roman"/>
          <w:color w:val="000000"/>
          <w:szCs w:val="20"/>
        </w:rPr>
      </w:pPr>
      <w:r>
        <w:rPr>
          <w:rFonts w:eastAsia="Arial" w:cs="Times New Roman"/>
          <w:color w:val="000000"/>
          <w:szCs w:val="20"/>
        </w:rPr>
        <w:t>Sense of Connectedness</w:t>
      </w:r>
    </w:p>
    <w:p w:rsidR="002A03C0" w:rsidRDefault="00B5111D">
      <w:pPr>
        <w:numPr>
          <w:ilvl w:val="1"/>
          <w:numId w:val="32"/>
        </w:numPr>
        <w:spacing w:after="0" w:line="276" w:lineRule="auto"/>
        <w:rPr>
          <w:rFonts w:eastAsia="Arial" w:cs="Times New Roman"/>
          <w:color w:val="000000"/>
          <w:szCs w:val="20"/>
        </w:rPr>
      </w:pPr>
      <w:r>
        <w:rPr>
          <w:rFonts w:eastAsia="Arial" w:cs="Times New Roman"/>
          <w:color w:val="000000"/>
          <w:szCs w:val="20"/>
        </w:rPr>
        <w:t>Management of Bullying</w:t>
      </w:r>
    </w:p>
    <w:p w:rsidR="002A03C0" w:rsidRDefault="00B5111D">
      <w:pPr>
        <w:rPr>
          <w:rFonts w:eastAsia="MS Mincho"/>
        </w:rPr>
      </w:pPr>
      <w:r>
        <w:rPr>
          <w:rFonts w:eastAsia="MS Mincho"/>
        </w:rPr>
        <w:t>Results are displayed for the latest year, as well as the average of the last four years (where available).</w:t>
      </w:r>
    </w:p>
    <w:p w:rsidR="002A03C0" w:rsidRDefault="00B5111D">
      <w:pPr>
        <w:rPr>
          <w:rFonts w:eastAsia="MS Gothic" w:cs="Times New Roman"/>
          <w:b/>
          <w:bCs/>
          <w:caps/>
          <w:color w:val="00008B"/>
          <w:sz w:val="20"/>
          <w:szCs w:val="20"/>
          <w:u w:val="single"/>
        </w:rPr>
      </w:pPr>
      <w:r>
        <w:rPr>
          <w:rFonts w:eastAsia="MS Gothic" w:cs="Times New Roman"/>
          <w:b/>
          <w:bCs/>
          <w:caps/>
          <w:color w:val="00008B"/>
          <w:sz w:val="20"/>
          <w:szCs w:val="20"/>
          <w:u w:val="single"/>
        </w:rPr>
        <w:t>What does School Comparison refer to?</w:t>
      </w:r>
    </w:p>
    <w:p w:rsidR="002A03C0" w:rsidRDefault="00B5111D">
      <w:pPr>
        <w:rPr>
          <w:rFonts w:eastAsia="MS Mincho"/>
        </w:rPr>
      </w:pPr>
      <w:r>
        <w:rPr>
          <w:rFonts w:eastAsia="Arial"/>
          <w:color w:val="000000"/>
        </w:rPr>
        <w:t>The</w:t>
      </w:r>
      <w:r>
        <w:rPr>
          <w:rFonts w:eastAsia="Arial"/>
          <w:i/>
          <w:color w:val="000000"/>
        </w:rPr>
        <w:t xml:space="preserve"> </w:t>
      </w:r>
      <w:r>
        <w:rPr>
          <w:rFonts w:eastAsia="Arial"/>
          <w:color w:val="000000"/>
        </w:rPr>
        <w:t>School Comparison is a way of comparing this school’s performance to similar schools in Victoria.</w:t>
      </w:r>
    </w:p>
    <w:p w:rsidR="002A03C0" w:rsidRDefault="00B5111D">
      <w:pPr>
        <w:rPr>
          <w:rFonts w:eastAsia="Arial"/>
          <w:color w:val="000000"/>
        </w:rPr>
      </w:pPr>
      <w:r>
        <w:rPr>
          <w:rFonts w:eastAsia="Arial"/>
          <w:color w:val="000000"/>
        </w:rPr>
        <w:t>Th</w:t>
      </w:r>
      <w:r>
        <w:rPr>
          <w:rFonts w:eastAsia="Arial"/>
          <w:color w:val="000000"/>
          <w:sz w:val="16"/>
        </w:rPr>
        <w:t>e</w:t>
      </w:r>
      <w:r>
        <w:rPr>
          <w:rFonts w:eastAsia="Arial"/>
          <w:color w:val="000000"/>
        </w:rPr>
        <w:t xml:space="preserve"> comparison measure takes into account the school’s academic intake, the socio-economic background of students, the number of Aboriginal students, the number of non-English speaking and refugee students, the number of students with a disability and the size and location of the school. </w:t>
      </w:r>
    </w:p>
    <w:p w:rsidR="002A03C0" w:rsidRDefault="00B5111D">
      <w:pPr>
        <w:rPr>
          <w:rFonts w:eastAsia="MS Mincho"/>
        </w:rPr>
      </w:pPr>
      <w:r>
        <w:rPr>
          <w:rFonts w:eastAsia="Arial"/>
          <w:color w:val="000000"/>
        </w:rPr>
        <w:t>The School Comparison</w:t>
      </w:r>
      <w:r>
        <w:rPr>
          <w:rFonts w:eastAsia="Arial"/>
          <w:i/>
          <w:color w:val="000000"/>
        </w:rPr>
        <w:t xml:space="preserve"> </w:t>
      </w:r>
      <w:r>
        <w:rPr>
          <w:rFonts w:eastAsia="Arial"/>
          <w:color w:val="000000"/>
        </w:rPr>
        <w:t xml:space="preserve">shows that most schools are achieving results that are </w:t>
      </w:r>
      <w:r>
        <w:rPr>
          <w:rFonts w:eastAsia="Arial"/>
          <w:b/>
          <w:color w:val="000000"/>
        </w:rPr>
        <w:t>‘Similar’</w:t>
      </w:r>
      <w:r>
        <w:rPr>
          <w:rFonts w:eastAsia="Arial"/>
          <w:color w:val="000000"/>
        </w:rPr>
        <w:t xml:space="preserve"> to other schools with alike student </w:t>
      </w:r>
      <w:r>
        <w:rPr>
          <w:rFonts w:eastAsia="MS Mincho"/>
        </w:rPr>
        <w:t xml:space="preserve">backgrounds and characteristics. Some schools are doing exceptionally well and have </w:t>
      </w:r>
      <w:r>
        <w:rPr>
          <w:rFonts w:eastAsia="MS Mincho"/>
          <w:b/>
        </w:rPr>
        <w:t>‘Higher’</w:t>
      </w:r>
      <w:r>
        <w:rPr>
          <w:rFonts w:eastAsia="MS Mincho"/>
        </w:rPr>
        <w:t xml:space="preserve"> performance.  Some schools have </w:t>
      </w:r>
      <w:r>
        <w:rPr>
          <w:rFonts w:eastAsia="MS Mincho"/>
          <w:b/>
        </w:rPr>
        <w:t>‘Lower’</w:t>
      </w:r>
      <w:r>
        <w:rPr>
          <w:rFonts w:eastAsia="MS Mincho"/>
        </w:rPr>
        <w:t xml:space="preserve"> performance than expected and receive targeted support to ensure that there is improvement.</w:t>
      </w:r>
    </w:p>
    <w:p w:rsidR="002A03C0" w:rsidRDefault="00B5111D">
      <w:pPr>
        <w:rPr>
          <w:rFonts w:eastAsia="MS Gothic" w:cs="Times New Roman"/>
          <w:b/>
          <w:bCs/>
          <w:caps/>
          <w:color w:val="00008B"/>
          <w:sz w:val="20"/>
          <w:szCs w:val="20"/>
          <w:u w:val="single"/>
        </w:rPr>
      </w:pPr>
      <w:r>
        <w:rPr>
          <w:rFonts w:eastAsia="MS Gothic" w:cs="Times New Roman"/>
          <w:b/>
          <w:bCs/>
          <w:caps/>
          <w:color w:val="00008B"/>
          <w:sz w:val="20"/>
          <w:szCs w:val="20"/>
          <w:u w:val="single"/>
        </w:rPr>
        <w:t>What does ‘Data not available’ or ‘np’ mean?</w:t>
      </w:r>
    </w:p>
    <w:p w:rsidR="002A03C0" w:rsidRDefault="00B5111D">
      <w:pPr>
        <w:spacing w:line="240" w:lineRule="auto"/>
        <w:rPr>
          <w:rFonts w:eastAsia="Arial" w:cs="Times New Roman"/>
          <w:color w:val="000000"/>
          <w:szCs w:val="20"/>
        </w:rPr>
      </w:pPr>
      <w:r>
        <w:rPr>
          <w:rFonts w:eastAsia="Arial" w:cs="Times New Roman"/>
          <w:color w:val="000000"/>
          <w:szCs w:val="20"/>
        </w:rPr>
        <w:t xml:space="preserve">Some schools have too few students enrolled to provide data. There may be no students enrolled in some year levels so school comparisons are not possible. </w:t>
      </w:r>
    </w:p>
    <w:p w:rsidR="002A03C0" w:rsidRDefault="00B5111D">
      <w:pPr>
        <w:spacing w:line="240" w:lineRule="auto"/>
        <w:rPr>
          <w:rFonts w:eastAsia="Arial" w:cs="Times New Roman"/>
          <w:color w:val="000000"/>
          <w:szCs w:val="20"/>
        </w:rPr>
      </w:pPr>
      <w:r>
        <w:rPr>
          <w:rFonts w:eastAsia="Arial" w:cs="Times New Roman"/>
          <w:color w:val="000000"/>
          <w:szCs w:val="20"/>
        </w:rPr>
        <w:t xml:space="preserve">New schools have only the latest year of data and no comparative data from previous years. </w:t>
      </w:r>
    </w:p>
    <w:p w:rsidR="002A03C0" w:rsidRDefault="00B5111D">
      <w:pPr>
        <w:spacing w:line="240" w:lineRule="auto"/>
        <w:rPr>
          <w:rFonts w:eastAsia="MS Mincho"/>
        </w:rPr>
      </w:pPr>
      <w:r>
        <w:rPr>
          <w:rFonts w:eastAsia="Arial" w:cs="Times New Roman"/>
          <w:color w:val="000000"/>
          <w:szCs w:val="20"/>
        </w:rPr>
        <w:t xml:space="preserve">The Department also recognises unique circumstances in Specialist, Select Entry, English Language and Community Schools where </w:t>
      </w:r>
      <w:r>
        <w:rPr>
          <w:rFonts w:eastAsia="MS Mincho"/>
        </w:rPr>
        <w:t>school-to-school comparisons are not appropriate.</w:t>
      </w:r>
    </w:p>
    <w:p w:rsidR="002A03C0" w:rsidRDefault="00B5111D">
      <w:pPr>
        <w:rPr>
          <w:rFonts w:eastAsia="MS Gothic" w:cs="Times New Roman"/>
          <w:b/>
          <w:bCs/>
          <w:caps/>
          <w:color w:val="00008B"/>
          <w:sz w:val="20"/>
          <w:szCs w:val="20"/>
          <w:u w:val="single"/>
        </w:rPr>
      </w:pPr>
      <w:r>
        <w:rPr>
          <w:rFonts w:eastAsia="MS Gothic" w:cs="Times New Roman"/>
          <w:b/>
          <w:bCs/>
          <w:caps/>
          <w:color w:val="00008B"/>
          <w:sz w:val="20"/>
          <w:szCs w:val="20"/>
          <w:u w:val="single"/>
        </w:rPr>
        <w:t>What is the Victorian Curriculum?</w:t>
      </w:r>
    </w:p>
    <w:p w:rsidR="002A03C0" w:rsidRDefault="00B5111D">
      <w:pPr>
        <w:spacing w:line="240" w:lineRule="auto"/>
        <w:rPr>
          <w:rFonts w:eastAsia="Arial"/>
          <w:color w:val="000000"/>
        </w:rPr>
      </w:pPr>
      <w:r>
        <w:rPr>
          <w:rFonts w:eastAsia="Arial"/>
          <w:color w:val="000000"/>
        </w:rPr>
        <w:t xml:space="preserve">The Victorian Curriculum F–10 sets out what every student should learn during his or her first eleven years of schooling. The curriculum is the common set of knowledge and skills required by students for life-long learning, social development and active and informed citizenship. </w:t>
      </w:r>
    </w:p>
    <w:p w:rsidR="002A03C0" w:rsidRDefault="00B5111D">
      <w:pPr>
        <w:spacing w:line="240" w:lineRule="auto"/>
        <w:rPr>
          <w:rFonts w:eastAsia="MS Mincho"/>
        </w:rPr>
      </w:pPr>
      <w:r>
        <w:rPr>
          <w:rFonts w:eastAsia="Arial"/>
          <w:color w:val="000000"/>
        </w:rPr>
        <w:t>The curriculum has been developed to ensure that school subjects and their achievement standards enable continuous learning for all students, including students with disabilities.</w:t>
      </w:r>
    </w:p>
    <w:p w:rsidR="002A03C0" w:rsidRDefault="00B5111D">
      <w:pPr>
        <w:spacing w:line="240" w:lineRule="auto"/>
        <w:rPr>
          <w:rFonts w:eastAsia="Arial"/>
          <w:color w:val="000000"/>
        </w:rPr>
      </w:pPr>
      <w:r>
        <w:rPr>
          <w:rFonts w:eastAsia="Arial"/>
          <w:color w:val="000000"/>
        </w:rPr>
        <w:t>The ‘Towards Foundation Level Victorian Curriculum’ is integrated directly into the curriculum and is referred to as ‘Levels A to D’.</w:t>
      </w:r>
    </w:p>
    <w:p w:rsidR="002A03C0" w:rsidRDefault="00B5111D">
      <w:pPr>
        <w:spacing w:line="240" w:lineRule="auto"/>
        <w:rPr>
          <w:rFonts w:eastAsia="Arial"/>
          <w:color w:val="000000"/>
        </w:rPr>
      </w:pPr>
      <w:r>
        <w:rPr>
          <w:rFonts w:eastAsia="Arial"/>
          <w:color w:val="000000"/>
        </w:rPr>
        <w:t>‘Levels A to D’ may be used for students with a disability or students who may have additional learning needs.</w:t>
      </w:r>
    </w:p>
    <w:p w:rsidR="002A03C0" w:rsidRDefault="00B5111D">
      <w:pPr>
        <w:spacing w:line="240" w:lineRule="auto"/>
        <w:rPr>
          <w:i/>
        </w:rPr>
      </w:pPr>
      <w:r>
        <w:rPr>
          <w:rFonts w:eastAsia="Arial"/>
          <w:color w:val="000000"/>
        </w:rPr>
        <w:t>‘Levels A to D’ are not associated with any set age or year level that links chronological age to cognitive progress (i.e. there is no age expected standard of achievement for ‘Levels A to D’).</w:t>
      </w:r>
    </w:p>
    <w:sectPr w:rsidR="002A03C0">
      <w:headerReference w:type="default" r:id="rId26"/>
      <w:footerReference w:type="default" r:id="rId27"/>
      <w:headerReference w:type="first" r:id="rId28"/>
      <w:pgSz w:w="11900" w:h="16840"/>
      <w:pgMar w:top="1418" w:right="567" w:bottom="851" w:left="567" w:header="284" w:footer="464" w:gutter="0"/>
      <w:cols w:space="39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53C2" w:rsidRDefault="00B5111D">
      <w:pPr>
        <w:spacing w:after="0" w:line="240" w:lineRule="auto"/>
      </w:pPr>
      <w:r>
        <w:separator/>
      </w:r>
    </w:p>
  </w:endnote>
  <w:endnote w:type="continuationSeparator" w:id="0">
    <w:p w:rsidR="00E053C2" w:rsidRDefault="00B51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2E3" w:rsidRDefault="00B5111D" w:rsidP="00B076DB">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932E3" w:rsidRDefault="004872F1" w:rsidP="00B076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2E3" w:rsidRPr="003E29B5" w:rsidRDefault="00B5111D" w:rsidP="00B076DB">
    <w:r w:rsidRPr="003E29B5">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2E3" w:rsidRPr="007839E6" w:rsidRDefault="00B5111D" w:rsidP="00362A9C">
    <w:pPr>
      <w:pStyle w:val="ESImageorGraphTitle"/>
      <w:rPr>
        <w:b w:val="0"/>
        <w:sz w:val="15"/>
        <w:szCs w:val="15"/>
      </w:rPr>
    </w:pPr>
    <w:r w:rsidRPr="007839E6">
      <w:rPr>
        <w:b w:val="0"/>
        <w:noProof/>
        <w:sz w:val="15"/>
        <w:szCs w:val="15"/>
      </w:rPr>
      <w:t>Osbornes Flat Primary School (1463)</w:t>
    </w:r>
    <w:r w:rsidRPr="007839E6">
      <w:rPr>
        <w:b w:val="0"/>
        <w:noProof/>
        <w:sz w:val="15"/>
        <w:szCs w:val="15"/>
        <w:lang w:val="en-AU" w:eastAsia="en-AU"/>
      </w:rPr>
      <w:drawing>
        <wp:anchor distT="0" distB="0" distL="114300" distR="114300" simplePos="0" relativeHeight="251676672" behindDoc="1" locked="0" layoutInCell="1" allowOverlap="1">
          <wp:simplePos x="0" y="0"/>
          <wp:positionH relativeFrom="column">
            <wp:posOffset>11844304</wp:posOffset>
          </wp:positionH>
          <wp:positionV relativeFrom="paragraph">
            <wp:posOffset>-47625</wp:posOffset>
          </wp:positionV>
          <wp:extent cx="1981200" cy="70485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81200" cy="704850"/>
                  </a:xfrm>
                  <a:prstGeom prst="rect">
                    <a:avLst/>
                  </a:prstGeom>
                </pic:spPr>
              </pic:pic>
            </a:graphicData>
          </a:graphic>
        </wp:anchor>
      </w:drawing>
    </w:r>
  </w:p>
  <w:sdt>
    <w:sdtPr>
      <w:rPr>
        <w:rFonts w:eastAsia="Arial" w:cs="Times New Roman"/>
        <w:color w:val="AF272F"/>
        <w:sz w:val="15"/>
        <w:szCs w:val="15"/>
        <w:lang w:val="en-AU"/>
      </w:rPr>
      <w:id w:val="208384299"/>
      <w:docPartObj>
        <w:docPartGallery w:val="Page Numbers (Bottom of Page)"/>
        <w:docPartUnique/>
      </w:docPartObj>
    </w:sdtPr>
    <w:sdtEndPr>
      <w:rPr>
        <w:noProof/>
      </w:rPr>
    </w:sdtEndPr>
    <w:sdtContent>
      <w:p w:rsidR="006932E3" w:rsidRPr="007B2B29" w:rsidRDefault="00B5111D" w:rsidP="00B076DB">
        <w:pPr>
          <w:tabs>
            <w:tab w:val="right" w:pos="567"/>
          </w:tabs>
          <w:spacing w:after="0" w:line="240" w:lineRule="auto"/>
          <w:ind w:right="-2268"/>
          <w:rPr>
            <w:rFonts w:eastAsia="Arial" w:cs="Times New Roman"/>
            <w:color w:val="AF272F"/>
            <w:sz w:val="13"/>
            <w:szCs w:val="13"/>
            <w:lang w:val="en-AU"/>
          </w:rPr>
        </w:pPr>
        <w:r w:rsidRPr="00006534">
          <w:rPr>
            <w:rFonts w:eastAsia="Arial" w:cs="Times New Roman"/>
            <w:color w:val="AF272F"/>
            <w:sz w:val="15"/>
            <w:szCs w:val="15"/>
            <w:lang w:val="en-AU"/>
          </w:rPr>
          <w:t xml:space="preserve">Page  </w:t>
        </w:r>
        <w:r w:rsidRPr="00006534">
          <w:rPr>
            <w:rFonts w:eastAsia="Arial" w:cs="Times New Roman"/>
            <w:color w:val="AF272F"/>
            <w:sz w:val="15"/>
            <w:szCs w:val="15"/>
            <w:lang w:val="en-AU"/>
          </w:rPr>
          <w:fldChar w:fldCharType="begin"/>
        </w:r>
        <w:r w:rsidRPr="00006534">
          <w:rPr>
            <w:rFonts w:eastAsia="Arial" w:cs="Times New Roman"/>
            <w:color w:val="AF272F"/>
            <w:sz w:val="15"/>
            <w:szCs w:val="15"/>
            <w:lang w:val="en-AU"/>
          </w:rPr>
          <w:instrText xml:space="preserve"> TITLE  \* MERGEFORMAT </w:instrText>
        </w:r>
        <w:r w:rsidRPr="00006534">
          <w:rPr>
            <w:rFonts w:eastAsia="Arial" w:cs="Times New Roman"/>
            <w:color w:val="AF272F"/>
            <w:sz w:val="15"/>
            <w:szCs w:val="15"/>
            <w:lang w:val="en-AU"/>
          </w:rPr>
          <w:fldChar w:fldCharType="end"/>
        </w:r>
        <w:r w:rsidRPr="007B2B29">
          <w:rPr>
            <w:rFonts w:eastAsia="Arial" w:cs="Times New Roman"/>
            <w:color w:val="AF272F"/>
            <w:sz w:val="15"/>
            <w:szCs w:val="15"/>
            <w:lang w:val="en-AU"/>
          </w:rPr>
          <w:tab/>
        </w:r>
        <w:r w:rsidRPr="007B2B29">
          <w:rPr>
            <w:rFonts w:eastAsia="Arial" w:cs="Times New Roman"/>
            <w:color w:val="AF272F"/>
            <w:sz w:val="15"/>
            <w:szCs w:val="15"/>
            <w:lang w:val="en-AU"/>
          </w:rPr>
          <w:fldChar w:fldCharType="begin"/>
        </w:r>
        <w:r w:rsidRPr="007B2B29">
          <w:rPr>
            <w:rFonts w:eastAsia="Arial" w:cs="Times New Roman"/>
            <w:color w:val="AF272F"/>
            <w:sz w:val="15"/>
            <w:szCs w:val="15"/>
            <w:lang w:val="en-AU"/>
          </w:rPr>
          <w:instrText xml:space="preserve"> PAGE   \* MERGEFORMAT </w:instrText>
        </w:r>
        <w:r w:rsidRPr="007B2B29">
          <w:rPr>
            <w:rFonts w:eastAsia="Arial" w:cs="Times New Roman"/>
            <w:color w:val="AF272F"/>
            <w:sz w:val="15"/>
            <w:szCs w:val="15"/>
            <w:lang w:val="en-AU"/>
          </w:rPr>
          <w:fldChar w:fldCharType="separate"/>
        </w:r>
        <w:r w:rsidR="004872F1">
          <w:rPr>
            <w:rFonts w:eastAsia="Arial" w:cs="Times New Roman"/>
            <w:noProof/>
            <w:color w:val="AF272F"/>
            <w:sz w:val="15"/>
            <w:szCs w:val="15"/>
            <w:lang w:val="en-AU"/>
          </w:rPr>
          <w:t>4</w:t>
        </w:r>
        <w:r w:rsidRPr="007B2B29">
          <w:rPr>
            <w:rFonts w:eastAsia="Arial" w:cs="Times New Roman"/>
            <w:noProof/>
            <w:color w:val="AF272F"/>
            <w:sz w:val="15"/>
            <w:szCs w:val="15"/>
            <w:lang w:val="en-AU"/>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928465"/>
      <w:docPartObj>
        <w:docPartGallery w:val="Page Numbers (Bottom of Page)"/>
        <w:docPartUnique/>
      </w:docPartObj>
    </w:sdtPr>
    <w:sdtEndPr>
      <w:rPr>
        <w:noProof/>
      </w:rPr>
    </w:sdtEndPr>
    <w:sdtContent>
      <w:p w:rsidR="002A03C0" w:rsidRDefault="00B5111D">
        <w:pPr>
          <w:pStyle w:val="Footer"/>
          <w:jc w:val="right"/>
        </w:pPr>
        <w:r>
          <w:fldChar w:fldCharType="begin"/>
        </w:r>
        <w:r>
          <w:instrText xml:space="preserve"> PAGE   \* MERGEFORMAT </w:instrText>
        </w:r>
        <w:r>
          <w:fldChar w:fldCharType="separate"/>
        </w:r>
        <w:r w:rsidR="004872F1">
          <w:rPr>
            <w:noProof/>
          </w:rPr>
          <w:t>11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53C2" w:rsidRDefault="00B5111D">
      <w:pPr>
        <w:spacing w:after="0" w:line="240" w:lineRule="auto"/>
      </w:pPr>
      <w:r>
        <w:separator/>
      </w:r>
    </w:p>
  </w:footnote>
  <w:footnote w:type="continuationSeparator" w:id="0">
    <w:p w:rsidR="00E053C2" w:rsidRDefault="00B511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2E3" w:rsidRDefault="00B5111D">
    <w:r>
      <w:rPr>
        <w:noProof/>
        <w:lang w:val="en-AU" w:eastAsia="en-AU"/>
      </w:rPr>
      <mc:AlternateContent>
        <mc:Choice Requires="wps">
          <w:drawing>
            <wp:anchor distT="0" distB="0" distL="114300" distR="114300" simplePos="0" relativeHeight="251668480" behindDoc="0" locked="0" layoutInCell="1" allowOverlap="1">
              <wp:simplePos x="0" y="0"/>
              <wp:positionH relativeFrom="page">
                <wp:align>center</wp:align>
              </wp:positionH>
              <wp:positionV relativeFrom="page">
                <wp:align>center</wp:align>
              </wp:positionV>
              <wp:extent cx="6350000" cy="2286000"/>
              <wp:effectExtent l="0" t="1428750" r="0" b="127635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200000">
                        <a:off x="0" y="0"/>
                        <a:ext cx="6350000" cy="2286000"/>
                      </a:xfrm>
                      <a:prstGeom prst="rect">
                        <a:avLst/>
                      </a:prstGeom>
                    </wps:spPr>
                    <wps:txbx>
                      <w:txbxContent>
                        <w:p w:rsidR="006932E3" w:rsidRDefault="00B5111D" w:rsidP="00AF1438">
                          <w:pPr>
                            <w:pStyle w:val="NormalWeb"/>
                            <w:spacing w:before="0" w:beforeAutospacing="0" w:after="0" w:afterAutospacing="0"/>
                            <w:jc w:val="center"/>
                          </w:pPr>
                          <w:r>
                            <w:rPr>
                              <w:rFonts w:ascii="Arial" w:hAnsi="Arial" w:cs="Arial"/>
                              <w:color w:val="D3D3D3"/>
                              <w:sz w:val="72"/>
                              <w:szCs w:val="72"/>
                              <w14:textOutline w14:w="9525" w14:cap="flat" w14:cmpd="sng" w14:algn="ctr">
                                <w14:solidFill>
                                  <w14:srgbClr w14:val="D3D3D3"/>
                                </w14:solidFill>
                                <w14:prstDash w14:val="solid"/>
                                <w14:round/>
                              </w14:textOutline>
                            </w:rPr>
                            <w:t>Draft</w:t>
                          </w:r>
                        </w:p>
                      </w:txbxContent>
                    </wps:txbx>
                    <wps:bodyPr wrap="square" numCol="1" fromWordArt="1">
                      <a:prstTxWarp prst="textPlain">
                        <a:avLst>
                          <a:gd name="adj" fmla="val 50000"/>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0" o:spid="_x0000_s2049" type="#_x0000_t202" style="height:180pt;margin-left:0;margin-top:0;mso-height-percent:0;mso-height-relative:page;mso-position-horizontal:center;mso-position-horizontal-relative:page;mso-position-vertical:center;mso-position-vertical-relative:page;mso-width-percent:0;mso-width-relative:page;mso-wrap-distance-bottom:0;mso-wrap-distance-left:9pt;mso-wrap-distance-right:9pt;mso-wrap-distance-top:0;mso-wrap-style:square;position:absolute;rotation:-40;v-text-anchor:top;visibility:visible;width:500pt;z-index:251669504" filled="f" stroked="f">
              <o:lock v:ext="edit" shapetype="t"/>
              <v:textbox style="mso-fit-shape-to-text:t">
                <w:txbxContent>
                  <w:p w:rsidR="006932E3" w:rsidP="00AF1438">
                    <w:pPr>
                      <w:pStyle w:val="NormalWeb"/>
                      <w:spacing w:before="0" w:beforeAutospacing="0" w:after="0" w:afterAutospacing="0"/>
                      <w:jc w:val="center"/>
                    </w:pPr>
                    <w:r>
                      <w:rPr>
                        <w:rFonts w:ascii="Arial" w:hAnsi="Arial" w:cs="Arial"/>
                        <w:color w:val="D3D3D3"/>
                        <w:sz w:val="72"/>
                        <w:szCs w:val="72"/>
                        <w14:textOutline w14:w="9525">
                          <w14:solidFill>
                            <w14:srgbClr w14:val="D3D3D3"/>
                          </w14:solidFill>
                          <w14:round/>
                        </w14:textOutline>
                      </w:rPr>
                      <w:t>Draft</w:t>
                    </w:r>
                  </w:p>
                </w:txbxContent>
              </v:textbox>
            </v:shape>
          </w:pict>
        </mc:Fallback>
      </mc:AlternateContent>
    </w:r>
    <w:r w:rsidR="004872F1">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00pt;height:180pt;rotation:-40;z-index:251658240;mso-position-horizontal:center;mso-position-horizontal-relative:page;mso-position-vertical:center;mso-position-vertical-relative:page" fillcolor="#d3d3d3" strokecolor="#d3d3d3">
          <v:textpath style="font-family:&quot;Arial&quot;" string="Draft"/>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2E3" w:rsidRDefault="00B5111D">
    <w:pPr>
      <w:pStyle w:val="Header"/>
    </w:pPr>
    <w:r w:rsidRPr="000C104E">
      <w:rPr>
        <w:noProof/>
        <w:lang w:val="en-AU" w:eastAsia="en-AU"/>
      </w:rPr>
      <w:drawing>
        <wp:anchor distT="0" distB="0" distL="114300" distR="114300" simplePos="0" relativeHeight="251674624" behindDoc="1" locked="0" layoutInCell="1" allowOverlap="1">
          <wp:simplePos x="0" y="0"/>
          <wp:positionH relativeFrom="column">
            <wp:posOffset>7883858</wp:posOffset>
          </wp:positionH>
          <wp:positionV relativeFrom="paragraph">
            <wp:posOffset>-378460</wp:posOffset>
          </wp:positionV>
          <wp:extent cx="1991003" cy="743054"/>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91003" cy="743054"/>
                  </a:xfrm>
                  <a:prstGeom prst="rect">
                    <a:avLst/>
                  </a:prstGeom>
                </pic:spPr>
              </pic:pic>
            </a:graphicData>
          </a:graphic>
        </wp:anchor>
      </w:drawing>
    </w:r>
  </w:p>
  <w:p w:rsidR="006932E3" w:rsidRDefault="004872F1">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500pt;height:180pt;rotation:-40;z-index:251659264;mso-position-horizontal:center;mso-position-horizontal-relative:page;mso-position-vertical:center;mso-position-vertical-relative:page" fillcolor="#d3d3d3" strokecolor="#d3d3d3">
          <v:textpath style="font-family:&quot;Arial&quot;" string="Draft"/>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2E3" w:rsidRDefault="00B5111D">
    <w:r>
      <w:rPr>
        <w:noProof/>
        <w:lang w:val="en-AU" w:eastAsia="en-AU"/>
      </w:rPr>
      <mc:AlternateContent>
        <mc:Choice Requires="wps">
          <w:drawing>
            <wp:anchor distT="0" distB="0" distL="114300" distR="114300" simplePos="0" relativeHeight="251660288" behindDoc="0" locked="0" layoutInCell="1" allowOverlap="1">
              <wp:simplePos x="0" y="0"/>
              <wp:positionH relativeFrom="page">
                <wp:align>center</wp:align>
              </wp:positionH>
              <wp:positionV relativeFrom="page">
                <wp:align>center</wp:align>
              </wp:positionV>
              <wp:extent cx="6350000" cy="2286000"/>
              <wp:effectExtent l="0" t="1428750" r="0" b="12763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200000">
                        <a:off x="0" y="0"/>
                        <a:ext cx="6350000" cy="2286000"/>
                      </a:xfrm>
                      <a:prstGeom prst="rect">
                        <a:avLst/>
                      </a:prstGeom>
                    </wps:spPr>
                    <wps:txbx>
                      <w:txbxContent>
                        <w:p w:rsidR="006932E3" w:rsidRDefault="00B5111D" w:rsidP="00AF1438">
                          <w:pPr>
                            <w:pStyle w:val="NormalWeb"/>
                            <w:spacing w:before="0" w:beforeAutospacing="0" w:after="0" w:afterAutospacing="0"/>
                            <w:jc w:val="center"/>
                          </w:pPr>
                          <w:r>
                            <w:rPr>
                              <w:rFonts w:ascii="Arial" w:hAnsi="Arial" w:cs="Arial"/>
                              <w:color w:val="D3D3D3"/>
                              <w:sz w:val="72"/>
                              <w:szCs w:val="72"/>
                              <w14:textOutline w14:w="9525" w14:cap="flat" w14:cmpd="sng" w14:algn="ctr">
                                <w14:solidFill>
                                  <w14:srgbClr w14:val="D3D3D3"/>
                                </w14:solidFill>
                                <w14:prstDash w14:val="solid"/>
                                <w14:round/>
                              </w14:textOutline>
                            </w:rPr>
                            <w:t>Draft</w:t>
                          </w:r>
                        </w:p>
                      </w:txbxContent>
                    </wps:txbx>
                    <wps:bodyPr wrap="square" numCol="1" fromWordArt="1">
                      <a:prstTxWarp prst="textPlain">
                        <a:avLst>
                          <a:gd name="adj" fmla="val 50000"/>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9" o:spid="_x0000_s2052" type="#_x0000_t202" style="height:180pt;margin-left:0;margin-top:0;mso-height-percent:0;mso-height-relative:page;mso-position-horizontal:center;mso-position-horizontal-relative:page;mso-position-vertical:center;mso-position-vertical-relative:page;mso-width-percent:0;mso-width-relative:page;mso-wrap-distance-bottom:0;mso-wrap-distance-left:9pt;mso-wrap-distance-right:9pt;mso-wrap-distance-top:0;mso-wrap-style:square;position:absolute;rotation:-40;v-text-anchor:top;visibility:visible;width:500pt;z-index:251667456" filled="f" stroked="f">
              <o:lock v:ext="edit" shapetype="t"/>
              <v:textbox style="mso-fit-shape-to-text:t">
                <w:txbxContent>
                  <w:p w:rsidR="006932E3" w:rsidP="00AF1438">
                    <w:pPr>
                      <w:pStyle w:val="NormalWeb"/>
                      <w:spacing w:before="0" w:beforeAutospacing="0" w:after="0" w:afterAutospacing="0"/>
                      <w:jc w:val="center"/>
                    </w:pPr>
                    <w:r>
                      <w:rPr>
                        <w:rFonts w:ascii="Arial" w:hAnsi="Arial" w:cs="Arial"/>
                        <w:color w:val="D3D3D3"/>
                        <w:sz w:val="72"/>
                        <w:szCs w:val="72"/>
                        <w14:textOutline w14:w="9525">
                          <w14:solidFill>
                            <w14:srgbClr w14:val="D3D3D3"/>
                          </w14:solidFill>
                          <w14:round/>
                        </w14:textOutline>
                      </w:rPr>
                      <w:t>Draft</w:t>
                    </w:r>
                  </w:p>
                </w:txbxContent>
              </v:textbox>
            </v:shape>
          </w:pict>
        </mc:Fallback>
      </mc:AlternateContent>
    </w:r>
    <w:r w:rsidR="004872F1">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500pt;height:180pt;rotation:-40;z-index:251661312;mso-position-horizontal:center;mso-position-horizontal-relative:page;mso-position-vertical:center;mso-position-vertical-relative:page" fillcolor="#d3d3d3" strokecolor="#d3d3d3">
          <v:textpath style="font-family:&quot;Arial&quot;" string="Draft"/>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2E3" w:rsidRDefault="00B5111D">
    <w:r>
      <w:rPr>
        <w:noProof/>
        <w:lang w:val="en-AU" w:eastAsia="en-AU"/>
      </w:rPr>
      <mc:AlternateContent>
        <mc:Choice Requires="wps">
          <w:drawing>
            <wp:anchor distT="0" distB="0" distL="114300" distR="114300" simplePos="0" relativeHeight="251672576" behindDoc="0" locked="0" layoutInCell="1" allowOverlap="1">
              <wp:simplePos x="0" y="0"/>
              <wp:positionH relativeFrom="page">
                <wp:align>center</wp:align>
              </wp:positionH>
              <wp:positionV relativeFrom="page">
                <wp:align>center</wp:align>
              </wp:positionV>
              <wp:extent cx="6350000" cy="2286000"/>
              <wp:effectExtent l="0" t="1428750" r="0" b="12763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200000">
                        <a:off x="0" y="0"/>
                        <a:ext cx="6350000" cy="2286000"/>
                      </a:xfrm>
                      <a:prstGeom prst="rect">
                        <a:avLst/>
                      </a:prstGeom>
                    </wps:spPr>
                    <wps:txbx>
                      <w:txbxContent>
                        <w:p w:rsidR="006932E3" w:rsidRDefault="00B5111D" w:rsidP="00C259B6">
                          <w:pPr>
                            <w:pStyle w:val="NormalWeb"/>
                            <w:spacing w:before="0" w:beforeAutospacing="0" w:after="0" w:afterAutospacing="0"/>
                            <w:jc w:val="center"/>
                          </w:pPr>
                          <w:r>
                            <w:rPr>
                              <w:rFonts w:ascii="Arial" w:hAnsi="Arial" w:cs="Arial"/>
                              <w:color w:val="D3D3D3"/>
                              <w:sz w:val="72"/>
                              <w:szCs w:val="72"/>
                              <w14:textOutline w14:w="9525" w14:cap="flat" w14:cmpd="sng" w14:algn="ctr">
                                <w14:solidFill>
                                  <w14:srgbClr w14:val="D3D3D3"/>
                                </w14:solidFill>
                                <w14:prstDash w14:val="solid"/>
                                <w14:round/>
                              </w14:textOutline>
                            </w:rPr>
                            <w:t>Draft</w:t>
                          </w:r>
                        </w:p>
                      </w:txbxContent>
                    </wps:txbx>
                    <wps:bodyPr wrap="square" numCol="1" fromWordArt="1">
                      <a:prstTxWarp prst="textPlain">
                        <a:avLst>
                          <a:gd name="adj" fmla="val 50000"/>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7" o:spid="_x0000_s2054" type="#_x0000_t202" style="height:180pt;margin-left:0;margin-top:0;mso-height-percent:0;mso-height-relative:page;mso-position-horizontal:center;mso-position-horizontal-relative:page;mso-position-vertical:center;mso-position-vertical-relative:page;mso-width-percent:0;mso-width-relative:page;mso-wrap-distance-bottom:0;mso-wrap-distance-left:9pt;mso-wrap-distance-right:9pt;mso-wrap-distance-top:0;mso-wrap-style:square;position:absolute;rotation:-40;v-text-anchor:top;visibility:visible;width:500pt;z-index:251673600" filled="f" stroked="f">
              <o:lock v:ext="edit" shapetype="t"/>
              <v:textbox style="mso-fit-shape-to-text:t">
                <w:txbxContent>
                  <w:p w:rsidR="00BE480F" w:rsidP="00C259B6">
                    <w:pPr>
                      <w:pStyle w:val="NormalWeb"/>
                      <w:spacing w:before="0" w:beforeAutospacing="0" w:after="0" w:afterAutospacing="0"/>
                      <w:jc w:val="center"/>
                    </w:pPr>
                    <w:r>
                      <w:rPr>
                        <w:rFonts w:ascii="Arial" w:hAnsi="Arial" w:cs="Arial"/>
                        <w:color w:val="D3D3D3"/>
                        <w:sz w:val="72"/>
                        <w:szCs w:val="72"/>
                        <w14:textOutline w14:w="9525">
                          <w14:solidFill>
                            <w14:srgbClr w14:val="D3D3D3"/>
                          </w14:solidFill>
                          <w14:round/>
                        </w14:textOutline>
                      </w:rPr>
                      <w:t>Draft</w:t>
                    </w:r>
                  </w:p>
                </w:txbxContent>
              </v:textbox>
            </v:shape>
          </w:pict>
        </mc:Fallback>
      </mc:AlternateContent>
    </w:r>
    <w:r w:rsidR="004872F1">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5" type="#_x0000_t136" style="position:absolute;margin-left:0;margin-top:0;width:500pt;height:180pt;rotation:-40;z-index:251662336;mso-position-horizontal:center;mso-position-horizontal-relative:page;mso-position-vertical:center;mso-position-vertical-relative:page" fillcolor="#d3d3d3" strokecolor="#d3d3d3">
          <v:textpath style="font-family:&quot;Arial&quot;" string="Draft"/>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2E3" w:rsidRDefault="00B5111D">
    <w:r w:rsidRPr="003E2621">
      <w:rPr>
        <w:b/>
        <w:noProof/>
        <w:color w:val="AF272F"/>
        <w:sz w:val="36"/>
        <w:szCs w:val="36"/>
      </w:rPr>
      <w:t>Osbornes Flat Primary School (1463)</w:t>
    </w:r>
    <w:r w:rsidRPr="000C104E">
      <w:rPr>
        <w:noProof/>
        <w:lang w:val="en-AU" w:eastAsia="en-AU"/>
      </w:rPr>
      <w:drawing>
        <wp:anchor distT="0" distB="0" distL="114300" distR="114300" simplePos="0" relativeHeight="251675648" behindDoc="1" locked="0" layoutInCell="1" allowOverlap="1">
          <wp:simplePos x="0" y="0"/>
          <wp:positionH relativeFrom="column">
            <wp:posOffset>11844068</wp:posOffset>
          </wp:positionH>
          <wp:positionV relativeFrom="paragraph">
            <wp:posOffset>-272367</wp:posOffset>
          </wp:positionV>
          <wp:extent cx="1991003" cy="743054"/>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991003" cy="743054"/>
                  </a:xfrm>
                  <a:prstGeom prst="rect">
                    <a:avLst/>
                  </a:prstGeom>
                </pic:spPr>
              </pic:pic>
            </a:graphicData>
          </a:graphic>
        </wp:anchor>
      </w:drawing>
    </w:r>
    <w:r w:rsidR="004872F1">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6" type="#_x0000_t136" style="position:absolute;margin-left:0;margin-top:0;width:500pt;height:180pt;rotation:-40;z-index:251663360;mso-position-horizontal:center;mso-position-horizontal-relative:page;mso-position-vertical:center;mso-position-vertical-relative:page" fillcolor="#d3d3d3" strokecolor="#d3d3d3">
          <v:textpath style="font-family:&quot;Arial&quot;" string="Draft"/>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32E3" w:rsidRDefault="00B5111D">
    <w:r>
      <w:rPr>
        <w:noProof/>
        <w:lang w:val="en-AU" w:eastAsia="en-AU"/>
      </w:rPr>
      <mc:AlternateContent>
        <mc:Choice Requires="wps">
          <w:drawing>
            <wp:anchor distT="0" distB="0" distL="114300" distR="114300" simplePos="0" relativeHeight="251670528" behindDoc="0" locked="0" layoutInCell="1" allowOverlap="1">
              <wp:simplePos x="0" y="0"/>
              <wp:positionH relativeFrom="page">
                <wp:align>center</wp:align>
              </wp:positionH>
              <wp:positionV relativeFrom="page">
                <wp:align>center</wp:align>
              </wp:positionV>
              <wp:extent cx="6350000" cy="2286000"/>
              <wp:effectExtent l="0" t="1428750" r="0" b="127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200000">
                        <a:off x="0" y="0"/>
                        <a:ext cx="6350000" cy="2286000"/>
                      </a:xfrm>
                      <a:prstGeom prst="rect">
                        <a:avLst/>
                      </a:prstGeom>
                    </wps:spPr>
                    <wps:txbx>
                      <w:txbxContent>
                        <w:p w:rsidR="006932E3" w:rsidRDefault="00B5111D" w:rsidP="00C259B6">
                          <w:pPr>
                            <w:pStyle w:val="NormalWeb"/>
                            <w:spacing w:before="0" w:beforeAutospacing="0" w:after="0" w:afterAutospacing="0"/>
                            <w:jc w:val="center"/>
                          </w:pPr>
                          <w:r>
                            <w:rPr>
                              <w:rFonts w:ascii="Arial" w:hAnsi="Arial" w:cs="Arial"/>
                              <w:color w:val="D3D3D3"/>
                              <w:sz w:val="72"/>
                              <w:szCs w:val="72"/>
                              <w14:textOutline w14:w="9525" w14:cap="flat" w14:cmpd="sng" w14:algn="ctr">
                                <w14:solidFill>
                                  <w14:srgbClr w14:val="D3D3D3"/>
                                </w14:solidFill>
                                <w14:prstDash w14:val="solid"/>
                                <w14:round/>
                              </w14:textOutline>
                            </w:rPr>
                            <w:t>Draft</w:t>
                          </w:r>
                        </w:p>
                      </w:txbxContent>
                    </wps:txbx>
                    <wps:bodyPr wrap="square" numCol="1" fromWordArt="1">
                      <a:prstTxWarp prst="textPlain">
                        <a:avLst>
                          <a:gd name="adj" fmla="val 50000"/>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2057" type="#_x0000_t202" style="height:180pt;margin-left:0;margin-top:0;mso-height-percent:0;mso-height-relative:page;mso-position-horizontal:center;mso-position-horizontal-relative:page;mso-position-vertical:center;mso-position-vertical-relative:page;mso-width-percent:0;mso-width-relative:page;mso-wrap-distance-bottom:0;mso-wrap-distance-left:9pt;mso-wrap-distance-right:9pt;mso-wrap-distance-top:0;mso-wrap-style:square;position:absolute;rotation:-40;v-text-anchor:top;visibility:visible;width:500pt;z-index:251671552" filled="f" stroked="f">
              <o:lock v:ext="edit" shapetype="t"/>
              <v:textbox style="mso-fit-shape-to-text:t">
                <w:txbxContent>
                  <w:p w:rsidR="00BE480F" w:rsidP="00C259B6">
                    <w:pPr>
                      <w:pStyle w:val="NormalWeb"/>
                      <w:spacing w:before="0" w:beforeAutospacing="0" w:after="0" w:afterAutospacing="0"/>
                      <w:jc w:val="center"/>
                    </w:pPr>
                    <w:r>
                      <w:rPr>
                        <w:rFonts w:ascii="Arial" w:hAnsi="Arial" w:cs="Arial"/>
                        <w:color w:val="D3D3D3"/>
                        <w:sz w:val="72"/>
                        <w:szCs w:val="72"/>
                        <w14:textOutline w14:w="9525">
                          <w14:solidFill>
                            <w14:srgbClr w14:val="D3D3D3"/>
                          </w14:solidFill>
                          <w14:round/>
                        </w14:textOutline>
                      </w:rPr>
                      <w:t>Draft</w:t>
                    </w:r>
                  </w:p>
                </w:txbxContent>
              </v:textbox>
            </v:shape>
          </w:pict>
        </mc:Fallback>
      </mc:AlternateContent>
    </w:r>
    <w:r w:rsidR="004872F1">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8" type="#_x0000_t136" style="position:absolute;margin-left:0;margin-top:0;width:500pt;height:180pt;rotation:-40;z-index:251664384;mso-position-horizontal:center;mso-position-horizontal-relative:page;mso-position-vertical:center;mso-position-vertical-relative:page" fillcolor="#d3d3d3" strokecolor="#d3d3d3">
          <v:textpath style="font-family:&quot;Arial&quot;" string="Draft"/>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3C0" w:rsidRDefault="00B5111D">
    <w:pPr>
      <w:pStyle w:val="Header"/>
      <w:spacing w:before="240"/>
    </w:pPr>
    <w:r>
      <w:rPr>
        <w:noProof/>
        <w:lang w:val="en-AU" w:eastAsia="en-AU"/>
      </w:rPr>
      <w:drawing>
        <wp:inline distT="0" distB="0" distL="0" distR="0">
          <wp:extent cx="1471910" cy="512445"/>
          <wp:effectExtent l="0" t="0" r="0" b="1905"/>
          <wp:docPr id="1966136908" name="img3.jpg" descr="Victorian State Government Education and Training logo"/>
          <wp:cNvGraphicFramePr/>
          <a:graphic xmlns:a="http://schemas.openxmlformats.org/drawingml/2006/main">
            <a:graphicData uri="http://schemas.openxmlformats.org/drawingml/2006/picture">
              <pic:pic xmlns:pic="http://schemas.openxmlformats.org/drawingml/2006/picture">
                <pic:nvPicPr>
                  <pic:cNvPr id="1" name="img3.jpg"/>
                  <pic:cNvPicPr/>
                </pic:nvPicPr>
                <pic:blipFill>
                  <a:blip r:embed="rId1" cstate="print"/>
                  <a:stretch>
                    <a:fillRect/>
                  </a:stretch>
                </pic:blipFill>
                <pic:spPr>
                  <a:xfrm>
                    <a:off x="0" y="0"/>
                    <a:ext cx="1574060" cy="548008"/>
                  </a:xfrm>
                  <a:prstGeom prst="rect">
                    <a:avLst/>
                  </a:prstGeom>
                </pic:spPr>
              </pic:pic>
            </a:graphicData>
          </a:graphic>
        </wp:inline>
      </w:drawing>
    </w:r>
    <w:r>
      <w:ptab w:relativeTo="margin" w:alignment="center" w:leader="none"/>
    </w:r>
    <w:r>
      <w:ptab w:relativeTo="margin" w:alignment="right" w:leader="none"/>
    </w:r>
    <w:r>
      <w:rPr>
        <w:noProof/>
        <w:sz w:val="22"/>
        <w:lang w:val="en-AU" w:eastAsia="en-AU"/>
      </w:rPr>
      <w:t xml:space="preserve">Osbornes Flat Primary School </w:t>
    </w:r>
    <w:r w:rsidR="004872F1">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9" type="#_x0000_t136" style="position:absolute;margin-left:0;margin-top:0;width:500pt;height:180pt;rotation:-40;z-index:251665408;mso-position-horizontal:center;mso-position-horizontal-relative:page;mso-position-vertical:center;mso-position-vertical-relative:page" fillcolor="#d3d3d3" strokecolor="#d3d3d3">
          <v:textpath style="font-family:&quot;Arial&quot;" string="Draft"/>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03C0" w:rsidRDefault="00B5111D">
    <w:pPr>
      <w:pStyle w:val="Header"/>
      <w:ind w:left="-993"/>
    </w:pPr>
    <w:r>
      <w:ptab w:relativeTo="margin" w:alignment="left" w:leader="none"/>
    </w:r>
  </w:p>
  <w:p w:rsidR="002A03C0" w:rsidRDefault="004872F1">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0" type="#_x0000_t136" style="position:absolute;margin-left:0;margin-top:0;width:500pt;height:180pt;rotation:-40;z-index:251666432;mso-position-horizontal:center;mso-position-horizontal-relative:page;mso-position-vertical:center;mso-position-vertical-relative:page" fillcolor="#d3d3d3" strokecolor="#d3d3d3">
          <v:textpath style="font-family:&quot;Arial&quot;" string="Draft"/>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4FE6ADFC"/>
    <w:lvl w:ilvl="0">
      <w:start w:val="1"/>
      <w:numFmt w:val="bullet"/>
      <w:pStyle w:val="NoteLevel1"/>
      <w:lvlText w:val=""/>
      <w:lvlJc w:val="left"/>
      <w:pPr>
        <w:ind w:left="-600" w:hanging="360"/>
      </w:pPr>
      <w:rPr>
        <w:rFonts w:ascii="Symbol" w:hAnsi="Symbol" w:hint="default"/>
        <w:color w:val="AF272F"/>
      </w:rPr>
    </w:lvl>
    <w:lvl w:ilvl="1">
      <w:start w:val="1"/>
      <w:numFmt w:val="bullet"/>
      <w:pStyle w:val="NoteLevel2"/>
      <w:lvlText w:val=""/>
      <w:lvlJc w:val="left"/>
      <w:pPr>
        <w:tabs>
          <w:tab w:val="num" w:pos="-240"/>
        </w:tabs>
        <w:ind w:left="120" w:hanging="360"/>
      </w:pPr>
      <w:rPr>
        <w:rFonts w:ascii="Symbol" w:hAnsi="Symbol" w:hint="default"/>
      </w:rPr>
    </w:lvl>
    <w:lvl w:ilvl="2">
      <w:start w:val="1"/>
      <w:numFmt w:val="bullet"/>
      <w:pStyle w:val="NoteLevel3"/>
      <w:lvlText w:val="o"/>
      <w:lvlJc w:val="left"/>
      <w:pPr>
        <w:tabs>
          <w:tab w:val="num" w:pos="480"/>
        </w:tabs>
        <w:ind w:left="840" w:hanging="360"/>
      </w:pPr>
      <w:rPr>
        <w:rFonts w:ascii="Courier New" w:hAnsi="Courier New" w:cs="Courier New" w:hint="default"/>
      </w:rPr>
    </w:lvl>
    <w:lvl w:ilvl="3">
      <w:start w:val="1"/>
      <w:numFmt w:val="bullet"/>
      <w:pStyle w:val="NoteLevel4"/>
      <w:lvlText w:val=""/>
      <w:lvlJc w:val="left"/>
      <w:pPr>
        <w:tabs>
          <w:tab w:val="num" w:pos="1200"/>
        </w:tabs>
        <w:ind w:left="1560" w:hanging="360"/>
      </w:pPr>
      <w:rPr>
        <w:rFonts w:ascii="Wingdings" w:hAnsi="Wingdings" w:hint="default"/>
        <w:color w:val="AF272F"/>
      </w:rPr>
    </w:lvl>
    <w:lvl w:ilvl="4">
      <w:start w:val="1"/>
      <w:numFmt w:val="bullet"/>
      <w:pStyle w:val="NoteLevel5"/>
      <w:lvlText w:val=""/>
      <w:lvlJc w:val="left"/>
      <w:pPr>
        <w:tabs>
          <w:tab w:val="num" w:pos="1920"/>
        </w:tabs>
        <w:ind w:left="2280" w:hanging="360"/>
      </w:pPr>
      <w:rPr>
        <w:rFonts w:ascii="Wingdings" w:hAnsi="Wingdings" w:hint="default"/>
      </w:rPr>
    </w:lvl>
    <w:lvl w:ilvl="5">
      <w:start w:val="1"/>
      <w:numFmt w:val="bullet"/>
      <w:pStyle w:val="NoteLevel6"/>
      <w:lvlText w:val=""/>
      <w:lvlJc w:val="left"/>
      <w:pPr>
        <w:tabs>
          <w:tab w:val="num" w:pos="2640"/>
        </w:tabs>
        <w:ind w:left="3000" w:hanging="360"/>
      </w:pPr>
      <w:rPr>
        <w:rFonts w:ascii="Symbol" w:hAnsi="Symbol" w:hint="default"/>
        <w:sz w:val="15"/>
      </w:rPr>
    </w:lvl>
    <w:lvl w:ilvl="6">
      <w:start w:val="1"/>
      <w:numFmt w:val="bullet"/>
      <w:lvlText w:val="o"/>
      <w:lvlJc w:val="left"/>
      <w:pPr>
        <w:tabs>
          <w:tab w:val="num" w:pos="3360"/>
        </w:tabs>
        <w:ind w:left="3720" w:hanging="360"/>
      </w:pPr>
      <w:rPr>
        <w:rFonts w:ascii="Courier New" w:hAnsi="Courier New" w:cs="Courier New" w:hint="default"/>
      </w:rPr>
    </w:lvl>
    <w:lvl w:ilvl="7">
      <w:start w:val="1"/>
      <w:numFmt w:val="bullet"/>
      <w:pStyle w:val="NoteLevel8"/>
      <w:lvlText w:val=""/>
      <w:lvlJc w:val="left"/>
      <w:pPr>
        <w:tabs>
          <w:tab w:val="num" w:pos="4080"/>
        </w:tabs>
        <w:ind w:left="4440" w:hanging="360"/>
      </w:pPr>
      <w:rPr>
        <w:rFonts w:ascii="Wingdings" w:hAnsi="Wingdings" w:hint="default"/>
      </w:rPr>
    </w:lvl>
    <w:lvl w:ilvl="8">
      <w:start w:val="1"/>
      <w:numFmt w:val="bullet"/>
      <w:pStyle w:val="NoteLevel9"/>
      <w:lvlText w:val=""/>
      <w:lvlJc w:val="left"/>
      <w:pPr>
        <w:tabs>
          <w:tab w:val="num" w:pos="4800"/>
        </w:tabs>
        <w:ind w:left="5160" w:hanging="360"/>
      </w:pPr>
      <w:rPr>
        <w:rFonts w:ascii="Wingdings" w:hAnsi="Wingdings" w:hint="default"/>
      </w:rPr>
    </w:lvl>
  </w:abstractNum>
  <w:abstractNum w:abstractNumId="1" w15:restartNumberingAfterBreak="0">
    <w:nsid w:val="FFFFFF7C"/>
    <w:multiLevelType w:val="singleLevel"/>
    <w:tmpl w:val="C9844DB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EDC9C9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11ED48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821843E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30ECA6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41CA33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B204D11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CF22D7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36ABC9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65A255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8632EA"/>
    <w:multiLevelType w:val="multilevel"/>
    <w:tmpl w:val="1388B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AD53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961710"/>
    <w:multiLevelType w:val="hybridMultilevel"/>
    <w:tmpl w:val="81F4FC2E"/>
    <w:lvl w:ilvl="0" w:tplc="6BC84EEA">
      <w:start w:val="1"/>
      <w:numFmt w:val="bullet"/>
      <w:lvlText w:val=""/>
      <w:lvlJc w:val="left"/>
      <w:pPr>
        <w:ind w:left="720" w:hanging="360"/>
      </w:pPr>
      <w:rPr>
        <w:rFonts w:ascii="Symbol" w:hAnsi="Symbol" w:hint="default"/>
      </w:rPr>
    </w:lvl>
    <w:lvl w:ilvl="1" w:tplc="E6AA96A2" w:tentative="1">
      <w:start w:val="1"/>
      <w:numFmt w:val="bullet"/>
      <w:lvlText w:val="o"/>
      <w:lvlJc w:val="left"/>
      <w:pPr>
        <w:ind w:left="1440" w:hanging="360"/>
      </w:pPr>
      <w:rPr>
        <w:rFonts w:ascii="Courier New" w:hAnsi="Courier New" w:cs="Courier New" w:hint="default"/>
      </w:rPr>
    </w:lvl>
    <w:lvl w:ilvl="2" w:tplc="4746D7A0" w:tentative="1">
      <w:start w:val="1"/>
      <w:numFmt w:val="bullet"/>
      <w:lvlText w:val=""/>
      <w:lvlJc w:val="left"/>
      <w:pPr>
        <w:ind w:left="2160" w:hanging="360"/>
      </w:pPr>
      <w:rPr>
        <w:rFonts w:ascii="Wingdings" w:hAnsi="Wingdings" w:hint="default"/>
      </w:rPr>
    </w:lvl>
    <w:lvl w:ilvl="3" w:tplc="C6C2A674" w:tentative="1">
      <w:start w:val="1"/>
      <w:numFmt w:val="bullet"/>
      <w:lvlText w:val=""/>
      <w:lvlJc w:val="left"/>
      <w:pPr>
        <w:ind w:left="2880" w:hanging="360"/>
      </w:pPr>
      <w:rPr>
        <w:rFonts w:ascii="Symbol" w:hAnsi="Symbol" w:hint="default"/>
      </w:rPr>
    </w:lvl>
    <w:lvl w:ilvl="4" w:tplc="18C23814" w:tentative="1">
      <w:start w:val="1"/>
      <w:numFmt w:val="bullet"/>
      <w:lvlText w:val="o"/>
      <w:lvlJc w:val="left"/>
      <w:pPr>
        <w:ind w:left="3600" w:hanging="360"/>
      </w:pPr>
      <w:rPr>
        <w:rFonts w:ascii="Courier New" w:hAnsi="Courier New" w:cs="Courier New" w:hint="default"/>
      </w:rPr>
    </w:lvl>
    <w:lvl w:ilvl="5" w:tplc="E9B2ECA6" w:tentative="1">
      <w:start w:val="1"/>
      <w:numFmt w:val="bullet"/>
      <w:lvlText w:val=""/>
      <w:lvlJc w:val="left"/>
      <w:pPr>
        <w:ind w:left="4320" w:hanging="360"/>
      </w:pPr>
      <w:rPr>
        <w:rFonts w:ascii="Wingdings" w:hAnsi="Wingdings" w:hint="default"/>
      </w:rPr>
    </w:lvl>
    <w:lvl w:ilvl="6" w:tplc="3E4072C6" w:tentative="1">
      <w:start w:val="1"/>
      <w:numFmt w:val="bullet"/>
      <w:lvlText w:val=""/>
      <w:lvlJc w:val="left"/>
      <w:pPr>
        <w:ind w:left="5040" w:hanging="360"/>
      </w:pPr>
      <w:rPr>
        <w:rFonts w:ascii="Symbol" w:hAnsi="Symbol" w:hint="default"/>
      </w:rPr>
    </w:lvl>
    <w:lvl w:ilvl="7" w:tplc="86DC4288" w:tentative="1">
      <w:start w:val="1"/>
      <w:numFmt w:val="bullet"/>
      <w:lvlText w:val="o"/>
      <w:lvlJc w:val="left"/>
      <w:pPr>
        <w:ind w:left="5760" w:hanging="360"/>
      </w:pPr>
      <w:rPr>
        <w:rFonts w:ascii="Courier New" w:hAnsi="Courier New" w:cs="Courier New" w:hint="default"/>
      </w:rPr>
    </w:lvl>
    <w:lvl w:ilvl="8" w:tplc="EC92487E" w:tentative="1">
      <w:start w:val="1"/>
      <w:numFmt w:val="bullet"/>
      <w:lvlText w:val=""/>
      <w:lvlJc w:val="left"/>
      <w:pPr>
        <w:ind w:left="6480" w:hanging="360"/>
      </w:pPr>
      <w:rPr>
        <w:rFonts w:ascii="Wingdings" w:hAnsi="Wingdings" w:hint="default"/>
      </w:rPr>
    </w:lvl>
  </w:abstractNum>
  <w:abstractNum w:abstractNumId="14" w15:restartNumberingAfterBreak="0">
    <w:nsid w:val="2BDE22CF"/>
    <w:multiLevelType w:val="multilevel"/>
    <w:tmpl w:val="58EA9756"/>
    <w:lvl w:ilvl="0">
      <w:start w:val="1"/>
      <w:numFmt w:val="bullet"/>
      <w:lvlText w:val=""/>
      <w:lvlJc w:val="left"/>
      <w:pPr>
        <w:ind w:left="360" w:hanging="360"/>
      </w:pPr>
      <w:rPr>
        <w:rFonts w:ascii="Symbol" w:hAnsi="Symbol" w:hint="default"/>
        <w:color w:val="AF272F"/>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sz w:val="15"/>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5" w15:restartNumberingAfterBreak="0">
    <w:nsid w:val="395702BE"/>
    <w:multiLevelType w:val="hybridMultilevel"/>
    <w:tmpl w:val="D91CCB04"/>
    <w:lvl w:ilvl="0" w:tplc="8BF6C918">
      <w:start w:val="1"/>
      <w:numFmt w:val="bullet"/>
      <w:lvlText w:val=""/>
      <w:lvlJc w:val="left"/>
      <w:pPr>
        <w:ind w:left="720" w:hanging="360"/>
      </w:pPr>
      <w:rPr>
        <w:rFonts w:ascii="Symbol" w:hAnsi="Symbol" w:hint="default"/>
      </w:rPr>
    </w:lvl>
    <w:lvl w:ilvl="1" w:tplc="2FE49ADA" w:tentative="1">
      <w:start w:val="1"/>
      <w:numFmt w:val="bullet"/>
      <w:lvlText w:val="o"/>
      <w:lvlJc w:val="left"/>
      <w:pPr>
        <w:ind w:left="1440" w:hanging="360"/>
      </w:pPr>
      <w:rPr>
        <w:rFonts w:ascii="Courier New" w:hAnsi="Courier New" w:cs="Courier New" w:hint="default"/>
      </w:rPr>
    </w:lvl>
    <w:lvl w:ilvl="2" w:tplc="2A2C4006" w:tentative="1">
      <w:start w:val="1"/>
      <w:numFmt w:val="bullet"/>
      <w:lvlText w:val=""/>
      <w:lvlJc w:val="left"/>
      <w:pPr>
        <w:ind w:left="2160" w:hanging="360"/>
      </w:pPr>
      <w:rPr>
        <w:rFonts w:ascii="Wingdings" w:hAnsi="Wingdings" w:hint="default"/>
      </w:rPr>
    </w:lvl>
    <w:lvl w:ilvl="3" w:tplc="8012A04A" w:tentative="1">
      <w:start w:val="1"/>
      <w:numFmt w:val="bullet"/>
      <w:lvlText w:val=""/>
      <w:lvlJc w:val="left"/>
      <w:pPr>
        <w:ind w:left="2880" w:hanging="360"/>
      </w:pPr>
      <w:rPr>
        <w:rFonts w:ascii="Symbol" w:hAnsi="Symbol" w:hint="default"/>
      </w:rPr>
    </w:lvl>
    <w:lvl w:ilvl="4" w:tplc="D2BC1A6E" w:tentative="1">
      <w:start w:val="1"/>
      <w:numFmt w:val="bullet"/>
      <w:lvlText w:val="o"/>
      <w:lvlJc w:val="left"/>
      <w:pPr>
        <w:ind w:left="3600" w:hanging="360"/>
      </w:pPr>
      <w:rPr>
        <w:rFonts w:ascii="Courier New" w:hAnsi="Courier New" w:cs="Courier New" w:hint="default"/>
      </w:rPr>
    </w:lvl>
    <w:lvl w:ilvl="5" w:tplc="39221DFC" w:tentative="1">
      <w:start w:val="1"/>
      <w:numFmt w:val="bullet"/>
      <w:lvlText w:val=""/>
      <w:lvlJc w:val="left"/>
      <w:pPr>
        <w:ind w:left="4320" w:hanging="360"/>
      </w:pPr>
      <w:rPr>
        <w:rFonts w:ascii="Wingdings" w:hAnsi="Wingdings" w:hint="default"/>
      </w:rPr>
    </w:lvl>
    <w:lvl w:ilvl="6" w:tplc="9654C2AC" w:tentative="1">
      <w:start w:val="1"/>
      <w:numFmt w:val="bullet"/>
      <w:lvlText w:val=""/>
      <w:lvlJc w:val="left"/>
      <w:pPr>
        <w:ind w:left="5040" w:hanging="360"/>
      </w:pPr>
      <w:rPr>
        <w:rFonts w:ascii="Symbol" w:hAnsi="Symbol" w:hint="default"/>
      </w:rPr>
    </w:lvl>
    <w:lvl w:ilvl="7" w:tplc="CD442638" w:tentative="1">
      <w:start w:val="1"/>
      <w:numFmt w:val="bullet"/>
      <w:lvlText w:val="o"/>
      <w:lvlJc w:val="left"/>
      <w:pPr>
        <w:ind w:left="5760" w:hanging="360"/>
      </w:pPr>
      <w:rPr>
        <w:rFonts w:ascii="Courier New" w:hAnsi="Courier New" w:cs="Courier New" w:hint="default"/>
      </w:rPr>
    </w:lvl>
    <w:lvl w:ilvl="8" w:tplc="AA7A9550" w:tentative="1">
      <w:start w:val="1"/>
      <w:numFmt w:val="bullet"/>
      <w:lvlText w:val=""/>
      <w:lvlJc w:val="left"/>
      <w:pPr>
        <w:ind w:left="6480" w:hanging="360"/>
      </w:pPr>
      <w:rPr>
        <w:rFonts w:ascii="Wingdings" w:hAnsi="Wingdings" w:hint="default"/>
      </w:rPr>
    </w:lvl>
  </w:abstractNum>
  <w:abstractNum w:abstractNumId="16" w15:restartNumberingAfterBreak="0">
    <w:nsid w:val="3960527E"/>
    <w:multiLevelType w:val="hybridMultilevel"/>
    <w:tmpl w:val="97505B86"/>
    <w:lvl w:ilvl="0" w:tplc="42A8A350">
      <w:start w:val="1"/>
      <w:numFmt w:val="bullet"/>
      <w:pStyle w:val="ESBulletsinTable"/>
      <w:lvlText w:val=""/>
      <w:lvlJc w:val="left"/>
      <w:pPr>
        <w:ind w:left="360" w:hanging="360"/>
      </w:pPr>
      <w:rPr>
        <w:rFonts w:ascii="Symbol" w:hAnsi="Symbol" w:hint="default"/>
        <w:color w:val="AF272F"/>
      </w:rPr>
    </w:lvl>
    <w:lvl w:ilvl="1" w:tplc="C7523FFA">
      <w:start w:val="1"/>
      <w:numFmt w:val="bullet"/>
      <w:pStyle w:val="ESBulletsinTableLevel2"/>
      <w:lvlText w:val="o"/>
      <w:lvlJc w:val="left"/>
      <w:pPr>
        <w:ind w:left="1440" w:hanging="360"/>
      </w:pPr>
      <w:rPr>
        <w:rFonts w:ascii="Courier New" w:hAnsi="Courier New" w:cs="Courier New" w:hint="default"/>
      </w:rPr>
    </w:lvl>
    <w:lvl w:ilvl="2" w:tplc="D99E4584" w:tentative="1">
      <w:start w:val="1"/>
      <w:numFmt w:val="bullet"/>
      <w:lvlText w:val=""/>
      <w:lvlJc w:val="left"/>
      <w:pPr>
        <w:ind w:left="2160" w:hanging="360"/>
      </w:pPr>
      <w:rPr>
        <w:rFonts w:ascii="Wingdings" w:hAnsi="Wingdings" w:hint="default"/>
      </w:rPr>
    </w:lvl>
    <w:lvl w:ilvl="3" w:tplc="3F24A006" w:tentative="1">
      <w:start w:val="1"/>
      <w:numFmt w:val="bullet"/>
      <w:lvlText w:val=""/>
      <w:lvlJc w:val="left"/>
      <w:pPr>
        <w:ind w:left="2880" w:hanging="360"/>
      </w:pPr>
      <w:rPr>
        <w:rFonts w:ascii="Symbol" w:hAnsi="Symbol" w:hint="default"/>
      </w:rPr>
    </w:lvl>
    <w:lvl w:ilvl="4" w:tplc="A3DEF678" w:tentative="1">
      <w:start w:val="1"/>
      <w:numFmt w:val="bullet"/>
      <w:lvlText w:val="o"/>
      <w:lvlJc w:val="left"/>
      <w:pPr>
        <w:ind w:left="3600" w:hanging="360"/>
      </w:pPr>
      <w:rPr>
        <w:rFonts w:ascii="Courier New" w:hAnsi="Courier New" w:cs="Courier New" w:hint="default"/>
      </w:rPr>
    </w:lvl>
    <w:lvl w:ilvl="5" w:tplc="1D3C05B4" w:tentative="1">
      <w:start w:val="1"/>
      <w:numFmt w:val="bullet"/>
      <w:lvlText w:val=""/>
      <w:lvlJc w:val="left"/>
      <w:pPr>
        <w:ind w:left="4320" w:hanging="360"/>
      </w:pPr>
      <w:rPr>
        <w:rFonts w:ascii="Wingdings" w:hAnsi="Wingdings" w:hint="default"/>
      </w:rPr>
    </w:lvl>
    <w:lvl w:ilvl="6" w:tplc="2FEAA67E" w:tentative="1">
      <w:start w:val="1"/>
      <w:numFmt w:val="bullet"/>
      <w:lvlText w:val=""/>
      <w:lvlJc w:val="left"/>
      <w:pPr>
        <w:ind w:left="5040" w:hanging="360"/>
      </w:pPr>
      <w:rPr>
        <w:rFonts w:ascii="Symbol" w:hAnsi="Symbol" w:hint="default"/>
      </w:rPr>
    </w:lvl>
    <w:lvl w:ilvl="7" w:tplc="9DB8296C" w:tentative="1">
      <w:start w:val="1"/>
      <w:numFmt w:val="bullet"/>
      <w:lvlText w:val="o"/>
      <w:lvlJc w:val="left"/>
      <w:pPr>
        <w:ind w:left="5760" w:hanging="360"/>
      </w:pPr>
      <w:rPr>
        <w:rFonts w:ascii="Courier New" w:hAnsi="Courier New" w:cs="Courier New" w:hint="default"/>
      </w:rPr>
    </w:lvl>
    <w:lvl w:ilvl="8" w:tplc="5C047E56" w:tentative="1">
      <w:start w:val="1"/>
      <w:numFmt w:val="bullet"/>
      <w:lvlText w:val=""/>
      <w:lvlJc w:val="left"/>
      <w:pPr>
        <w:ind w:left="6480" w:hanging="360"/>
      </w:pPr>
      <w:rPr>
        <w:rFonts w:ascii="Wingdings" w:hAnsi="Wingdings" w:hint="default"/>
      </w:rPr>
    </w:lvl>
  </w:abstractNum>
  <w:abstractNum w:abstractNumId="17" w15:restartNumberingAfterBreak="0">
    <w:nsid w:val="41F64396"/>
    <w:multiLevelType w:val="hybridMultilevel"/>
    <w:tmpl w:val="3E6E882E"/>
    <w:lvl w:ilvl="0" w:tplc="3F68D79E">
      <w:start w:val="1"/>
      <w:numFmt w:val="bullet"/>
      <w:lvlText w:val=""/>
      <w:lvlJc w:val="left"/>
      <w:pPr>
        <w:ind w:left="720" w:hanging="360"/>
      </w:pPr>
      <w:rPr>
        <w:rFonts w:ascii="Symbol" w:hAnsi="Symbol" w:hint="default"/>
      </w:rPr>
    </w:lvl>
    <w:lvl w:ilvl="1" w:tplc="726C3BEC" w:tentative="1">
      <w:start w:val="1"/>
      <w:numFmt w:val="bullet"/>
      <w:lvlText w:val="o"/>
      <w:lvlJc w:val="left"/>
      <w:pPr>
        <w:ind w:left="1440" w:hanging="360"/>
      </w:pPr>
      <w:rPr>
        <w:rFonts w:ascii="Courier New" w:hAnsi="Courier New" w:cs="Courier New" w:hint="default"/>
      </w:rPr>
    </w:lvl>
    <w:lvl w:ilvl="2" w:tplc="60F02AFC" w:tentative="1">
      <w:start w:val="1"/>
      <w:numFmt w:val="bullet"/>
      <w:lvlText w:val=""/>
      <w:lvlJc w:val="left"/>
      <w:pPr>
        <w:ind w:left="2160" w:hanging="360"/>
      </w:pPr>
      <w:rPr>
        <w:rFonts w:ascii="Wingdings" w:hAnsi="Wingdings" w:hint="default"/>
      </w:rPr>
    </w:lvl>
    <w:lvl w:ilvl="3" w:tplc="5EA667EC" w:tentative="1">
      <w:start w:val="1"/>
      <w:numFmt w:val="bullet"/>
      <w:lvlText w:val=""/>
      <w:lvlJc w:val="left"/>
      <w:pPr>
        <w:ind w:left="2880" w:hanging="360"/>
      </w:pPr>
      <w:rPr>
        <w:rFonts w:ascii="Symbol" w:hAnsi="Symbol" w:hint="default"/>
      </w:rPr>
    </w:lvl>
    <w:lvl w:ilvl="4" w:tplc="4F60993C" w:tentative="1">
      <w:start w:val="1"/>
      <w:numFmt w:val="bullet"/>
      <w:lvlText w:val="o"/>
      <w:lvlJc w:val="left"/>
      <w:pPr>
        <w:ind w:left="3600" w:hanging="360"/>
      </w:pPr>
      <w:rPr>
        <w:rFonts w:ascii="Courier New" w:hAnsi="Courier New" w:cs="Courier New" w:hint="default"/>
      </w:rPr>
    </w:lvl>
    <w:lvl w:ilvl="5" w:tplc="260AC8C4" w:tentative="1">
      <w:start w:val="1"/>
      <w:numFmt w:val="bullet"/>
      <w:lvlText w:val=""/>
      <w:lvlJc w:val="left"/>
      <w:pPr>
        <w:ind w:left="4320" w:hanging="360"/>
      </w:pPr>
      <w:rPr>
        <w:rFonts w:ascii="Wingdings" w:hAnsi="Wingdings" w:hint="default"/>
      </w:rPr>
    </w:lvl>
    <w:lvl w:ilvl="6" w:tplc="9320CB80" w:tentative="1">
      <w:start w:val="1"/>
      <w:numFmt w:val="bullet"/>
      <w:lvlText w:val=""/>
      <w:lvlJc w:val="left"/>
      <w:pPr>
        <w:ind w:left="5040" w:hanging="360"/>
      </w:pPr>
      <w:rPr>
        <w:rFonts w:ascii="Symbol" w:hAnsi="Symbol" w:hint="default"/>
      </w:rPr>
    </w:lvl>
    <w:lvl w:ilvl="7" w:tplc="9366135A" w:tentative="1">
      <w:start w:val="1"/>
      <w:numFmt w:val="bullet"/>
      <w:lvlText w:val="o"/>
      <w:lvlJc w:val="left"/>
      <w:pPr>
        <w:ind w:left="5760" w:hanging="360"/>
      </w:pPr>
      <w:rPr>
        <w:rFonts w:ascii="Courier New" w:hAnsi="Courier New" w:cs="Courier New" w:hint="default"/>
      </w:rPr>
    </w:lvl>
    <w:lvl w:ilvl="8" w:tplc="BE7AC9D4" w:tentative="1">
      <w:start w:val="1"/>
      <w:numFmt w:val="bullet"/>
      <w:lvlText w:val=""/>
      <w:lvlJc w:val="left"/>
      <w:pPr>
        <w:ind w:left="6480" w:hanging="360"/>
      </w:pPr>
      <w:rPr>
        <w:rFonts w:ascii="Wingdings" w:hAnsi="Wingdings" w:hint="default"/>
      </w:rPr>
    </w:lvl>
  </w:abstractNum>
  <w:abstractNum w:abstractNumId="18" w15:restartNumberingAfterBreak="0">
    <w:nsid w:val="425F02CC"/>
    <w:multiLevelType w:val="hybridMultilevel"/>
    <w:tmpl w:val="E5208B52"/>
    <w:lvl w:ilvl="0" w:tplc="8D207EA0">
      <w:start w:val="1"/>
      <w:numFmt w:val="bullet"/>
      <w:lvlText w:val=""/>
      <w:lvlJc w:val="left"/>
      <w:pPr>
        <w:ind w:left="180" w:hanging="360"/>
      </w:pPr>
      <w:rPr>
        <w:rFonts w:ascii="Symbol" w:hAnsi="Symbol" w:hint="default"/>
      </w:rPr>
    </w:lvl>
    <w:lvl w:ilvl="1" w:tplc="67BE4E98" w:tentative="1">
      <w:start w:val="1"/>
      <w:numFmt w:val="bullet"/>
      <w:lvlText w:val="o"/>
      <w:lvlJc w:val="left"/>
      <w:pPr>
        <w:ind w:left="900" w:hanging="360"/>
      </w:pPr>
      <w:rPr>
        <w:rFonts w:ascii="Courier New" w:hAnsi="Courier New" w:cs="Courier New" w:hint="default"/>
      </w:rPr>
    </w:lvl>
    <w:lvl w:ilvl="2" w:tplc="81029D3C" w:tentative="1">
      <w:start w:val="1"/>
      <w:numFmt w:val="bullet"/>
      <w:lvlText w:val=""/>
      <w:lvlJc w:val="left"/>
      <w:pPr>
        <w:ind w:left="1620" w:hanging="360"/>
      </w:pPr>
      <w:rPr>
        <w:rFonts w:ascii="Wingdings" w:hAnsi="Wingdings" w:hint="default"/>
      </w:rPr>
    </w:lvl>
    <w:lvl w:ilvl="3" w:tplc="9BB4C410" w:tentative="1">
      <w:start w:val="1"/>
      <w:numFmt w:val="bullet"/>
      <w:lvlText w:val=""/>
      <w:lvlJc w:val="left"/>
      <w:pPr>
        <w:ind w:left="2340" w:hanging="360"/>
      </w:pPr>
      <w:rPr>
        <w:rFonts w:ascii="Symbol" w:hAnsi="Symbol" w:hint="default"/>
      </w:rPr>
    </w:lvl>
    <w:lvl w:ilvl="4" w:tplc="40A8D044" w:tentative="1">
      <w:start w:val="1"/>
      <w:numFmt w:val="bullet"/>
      <w:lvlText w:val="o"/>
      <w:lvlJc w:val="left"/>
      <w:pPr>
        <w:ind w:left="3060" w:hanging="360"/>
      </w:pPr>
      <w:rPr>
        <w:rFonts w:ascii="Courier New" w:hAnsi="Courier New" w:cs="Courier New" w:hint="default"/>
      </w:rPr>
    </w:lvl>
    <w:lvl w:ilvl="5" w:tplc="3AA2A30E" w:tentative="1">
      <w:start w:val="1"/>
      <w:numFmt w:val="bullet"/>
      <w:lvlText w:val=""/>
      <w:lvlJc w:val="left"/>
      <w:pPr>
        <w:ind w:left="3780" w:hanging="360"/>
      </w:pPr>
      <w:rPr>
        <w:rFonts w:ascii="Wingdings" w:hAnsi="Wingdings" w:hint="default"/>
      </w:rPr>
    </w:lvl>
    <w:lvl w:ilvl="6" w:tplc="CEA052BC" w:tentative="1">
      <w:start w:val="1"/>
      <w:numFmt w:val="bullet"/>
      <w:lvlText w:val=""/>
      <w:lvlJc w:val="left"/>
      <w:pPr>
        <w:ind w:left="4500" w:hanging="360"/>
      </w:pPr>
      <w:rPr>
        <w:rFonts w:ascii="Symbol" w:hAnsi="Symbol" w:hint="default"/>
      </w:rPr>
    </w:lvl>
    <w:lvl w:ilvl="7" w:tplc="7FE028D6" w:tentative="1">
      <w:start w:val="1"/>
      <w:numFmt w:val="bullet"/>
      <w:lvlText w:val="o"/>
      <w:lvlJc w:val="left"/>
      <w:pPr>
        <w:ind w:left="5220" w:hanging="360"/>
      </w:pPr>
      <w:rPr>
        <w:rFonts w:ascii="Courier New" w:hAnsi="Courier New" w:cs="Courier New" w:hint="default"/>
      </w:rPr>
    </w:lvl>
    <w:lvl w:ilvl="8" w:tplc="E8C6A92C" w:tentative="1">
      <w:start w:val="1"/>
      <w:numFmt w:val="bullet"/>
      <w:lvlText w:val=""/>
      <w:lvlJc w:val="left"/>
      <w:pPr>
        <w:ind w:left="5940" w:hanging="360"/>
      </w:pPr>
      <w:rPr>
        <w:rFonts w:ascii="Wingdings" w:hAnsi="Wingdings" w:hint="default"/>
      </w:rPr>
    </w:lvl>
  </w:abstractNum>
  <w:abstractNum w:abstractNumId="19" w15:restartNumberingAfterBreak="0">
    <w:nsid w:val="61A94D37"/>
    <w:multiLevelType w:val="multilevel"/>
    <w:tmpl w:val="FEE4086A"/>
    <w:lvl w:ilvl="0">
      <w:start w:val="1"/>
      <w:numFmt w:val="bullet"/>
      <w:lvlText w:val=""/>
      <w:lvlJc w:val="left"/>
      <w:pPr>
        <w:ind w:left="360" w:hanging="36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0" w15:restartNumberingAfterBreak="0">
    <w:nsid w:val="62E2458A"/>
    <w:multiLevelType w:val="hybridMultilevel"/>
    <w:tmpl w:val="0F5A6546"/>
    <w:lvl w:ilvl="0" w:tplc="EADA6832">
      <w:start w:val="1"/>
      <w:numFmt w:val="bullet"/>
      <w:lvlText w:val=""/>
      <w:lvlJc w:val="left"/>
      <w:pPr>
        <w:ind w:left="720" w:hanging="360"/>
      </w:pPr>
      <w:rPr>
        <w:rFonts w:ascii="Symbol" w:hAnsi="Symbol" w:hint="default"/>
      </w:rPr>
    </w:lvl>
    <w:lvl w:ilvl="1" w:tplc="B980F5F6" w:tentative="1">
      <w:start w:val="1"/>
      <w:numFmt w:val="bullet"/>
      <w:lvlText w:val="o"/>
      <w:lvlJc w:val="left"/>
      <w:pPr>
        <w:ind w:left="1440" w:hanging="360"/>
      </w:pPr>
      <w:rPr>
        <w:rFonts w:ascii="Courier New" w:hAnsi="Courier New" w:cs="Courier New" w:hint="default"/>
      </w:rPr>
    </w:lvl>
    <w:lvl w:ilvl="2" w:tplc="6F4AC4AA" w:tentative="1">
      <w:start w:val="1"/>
      <w:numFmt w:val="bullet"/>
      <w:lvlText w:val=""/>
      <w:lvlJc w:val="left"/>
      <w:pPr>
        <w:ind w:left="2160" w:hanging="360"/>
      </w:pPr>
      <w:rPr>
        <w:rFonts w:ascii="Wingdings" w:hAnsi="Wingdings" w:hint="default"/>
      </w:rPr>
    </w:lvl>
    <w:lvl w:ilvl="3" w:tplc="247C2134" w:tentative="1">
      <w:start w:val="1"/>
      <w:numFmt w:val="bullet"/>
      <w:lvlText w:val=""/>
      <w:lvlJc w:val="left"/>
      <w:pPr>
        <w:ind w:left="2880" w:hanging="360"/>
      </w:pPr>
      <w:rPr>
        <w:rFonts w:ascii="Symbol" w:hAnsi="Symbol" w:hint="default"/>
      </w:rPr>
    </w:lvl>
    <w:lvl w:ilvl="4" w:tplc="299EE2A8" w:tentative="1">
      <w:start w:val="1"/>
      <w:numFmt w:val="bullet"/>
      <w:lvlText w:val="o"/>
      <w:lvlJc w:val="left"/>
      <w:pPr>
        <w:ind w:left="3600" w:hanging="360"/>
      </w:pPr>
      <w:rPr>
        <w:rFonts w:ascii="Courier New" w:hAnsi="Courier New" w:cs="Courier New" w:hint="default"/>
      </w:rPr>
    </w:lvl>
    <w:lvl w:ilvl="5" w:tplc="FEE431E6" w:tentative="1">
      <w:start w:val="1"/>
      <w:numFmt w:val="bullet"/>
      <w:lvlText w:val=""/>
      <w:lvlJc w:val="left"/>
      <w:pPr>
        <w:ind w:left="4320" w:hanging="360"/>
      </w:pPr>
      <w:rPr>
        <w:rFonts w:ascii="Wingdings" w:hAnsi="Wingdings" w:hint="default"/>
      </w:rPr>
    </w:lvl>
    <w:lvl w:ilvl="6" w:tplc="B8705AA2" w:tentative="1">
      <w:start w:val="1"/>
      <w:numFmt w:val="bullet"/>
      <w:lvlText w:val=""/>
      <w:lvlJc w:val="left"/>
      <w:pPr>
        <w:ind w:left="5040" w:hanging="360"/>
      </w:pPr>
      <w:rPr>
        <w:rFonts w:ascii="Symbol" w:hAnsi="Symbol" w:hint="default"/>
      </w:rPr>
    </w:lvl>
    <w:lvl w:ilvl="7" w:tplc="5378808A" w:tentative="1">
      <w:start w:val="1"/>
      <w:numFmt w:val="bullet"/>
      <w:lvlText w:val="o"/>
      <w:lvlJc w:val="left"/>
      <w:pPr>
        <w:ind w:left="5760" w:hanging="360"/>
      </w:pPr>
      <w:rPr>
        <w:rFonts w:ascii="Courier New" w:hAnsi="Courier New" w:cs="Courier New" w:hint="default"/>
      </w:rPr>
    </w:lvl>
    <w:lvl w:ilvl="8" w:tplc="BD8E9244" w:tentative="1">
      <w:start w:val="1"/>
      <w:numFmt w:val="bullet"/>
      <w:lvlText w:val=""/>
      <w:lvlJc w:val="left"/>
      <w:pPr>
        <w:ind w:left="6480" w:hanging="360"/>
      </w:pPr>
      <w:rPr>
        <w:rFonts w:ascii="Wingdings" w:hAnsi="Wingdings" w:hint="default"/>
      </w:rPr>
    </w:lvl>
  </w:abstractNum>
  <w:abstractNum w:abstractNumId="21" w15:restartNumberingAfterBreak="0">
    <w:nsid w:val="63AE4D02"/>
    <w:multiLevelType w:val="hybridMultilevel"/>
    <w:tmpl w:val="209C8AF0"/>
    <w:lvl w:ilvl="0" w:tplc="4DC868FE">
      <w:start w:val="1"/>
      <w:numFmt w:val="bullet"/>
      <w:lvlText w:val=""/>
      <w:lvlJc w:val="left"/>
      <w:pPr>
        <w:ind w:left="180" w:hanging="360"/>
      </w:pPr>
      <w:rPr>
        <w:rFonts w:ascii="Symbol" w:hAnsi="Symbol" w:hint="default"/>
      </w:rPr>
    </w:lvl>
    <w:lvl w:ilvl="1" w:tplc="3B523EBE" w:tentative="1">
      <w:start w:val="1"/>
      <w:numFmt w:val="bullet"/>
      <w:lvlText w:val="o"/>
      <w:lvlJc w:val="left"/>
      <w:pPr>
        <w:ind w:left="900" w:hanging="360"/>
      </w:pPr>
      <w:rPr>
        <w:rFonts w:ascii="Courier New" w:hAnsi="Courier New" w:cs="Courier New" w:hint="default"/>
      </w:rPr>
    </w:lvl>
    <w:lvl w:ilvl="2" w:tplc="4B6854CA" w:tentative="1">
      <w:start w:val="1"/>
      <w:numFmt w:val="bullet"/>
      <w:lvlText w:val=""/>
      <w:lvlJc w:val="left"/>
      <w:pPr>
        <w:ind w:left="1620" w:hanging="360"/>
      </w:pPr>
      <w:rPr>
        <w:rFonts w:ascii="Wingdings" w:hAnsi="Wingdings" w:hint="default"/>
      </w:rPr>
    </w:lvl>
    <w:lvl w:ilvl="3" w:tplc="6230261E" w:tentative="1">
      <w:start w:val="1"/>
      <w:numFmt w:val="bullet"/>
      <w:lvlText w:val=""/>
      <w:lvlJc w:val="left"/>
      <w:pPr>
        <w:ind w:left="2340" w:hanging="360"/>
      </w:pPr>
      <w:rPr>
        <w:rFonts w:ascii="Symbol" w:hAnsi="Symbol" w:hint="default"/>
      </w:rPr>
    </w:lvl>
    <w:lvl w:ilvl="4" w:tplc="9196A486" w:tentative="1">
      <w:start w:val="1"/>
      <w:numFmt w:val="bullet"/>
      <w:lvlText w:val="o"/>
      <w:lvlJc w:val="left"/>
      <w:pPr>
        <w:ind w:left="3060" w:hanging="360"/>
      </w:pPr>
      <w:rPr>
        <w:rFonts w:ascii="Courier New" w:hAnsi="Courier New" w:cs="Courier New" w:hint="default"/>
      </w:rPr>
    </w:lvl>
    <w:lvl w:ilvl="5" w:tplc="28584606" w:tentative="1">
      <w:start w:val="1"/>
      <w:numFmt w:val="bullet"/>
      <w:lvlText w:val=""/>
      <w:lvlJc w:val="left"/>
      <w:pPr>
        <w:ind w:left="3780" w:hanging="360"/>
      </w:pPr>
      <w:rPr>
        <w:rFonts w:ascii="Wingdings" w:hAnsi="Wingdings" w:hint="default"/>
      </w:rPr>
    </w:lvl>
    <w:lvl w:ilvl="6" w:tplc="C6AE971E" w:tentative="1">
      <w:start w:val="1"/>
      <w:numFmt w:val="bullet"/>
      <w:lvlText w:val=""/>
      <w:lvlJc w:val="left"/>
      <w:pPr>
        <w:ind w:left="4500" w:hanging="360"/>
      </w:pPr>
      <w:rPr>
        <w:rFonts w:ascii="Symbol" w:hAnsi="Symbol" w:hint="default"/>
      </w:rPr>
    </w:lvl>
    <w:lvl w:ilvl="7" w:tplc="C2D8886E" w:tentative="1">
      <w:start w:val="1"/>
      <w:numFmt w:val="bullet"/>
      <w:lvlText w:val="o"/>
      <w:lvlJc w:val="left"/>
      <w:pPr>
        <w:ind w:left="5220" w:hanging="360"/>
      </w:pPr>
      <w:rPr>
        <w:rFonts w:ascii="Courier New" w:hAnsi="Courier New" w:cs="Courier New" w:hint="default"/>
      </w:rPr>
    </w:lvl>
    <w:lvl w:ilvl="8" w:tplc="513857C6" w:tentative="1">
      <w:start w:val="1"/>
      <w:numFmt w:val="bullet"/>
      <w:lvlText w:val=""/>
      <w:lvlJc w:val="left"/>
      <w:pPr>
        <w:ind w:left="5940" w:hanging="360"/>
      </w:pPr>
      <w:rPr>
        <w:rFonts w:ascii="Wingdings" w:hAnsi="Wingdings" w:hint="default"/>
      </w:rPr>
    </w:lvl>
  </w:abstractNum>
  <w:abstractNum w:abstractNumId="22" w15:restartNumberingAfterBreak="0">
    <w:nsid w:val="6FD9220F"/>
    <w:multiLevelType w:val="hybridMultilevel"/>
    <w:tmpl w:val="82AA4ECA"/>
    <w:lvl w:ilvl="0" w:tplc="D42AF180">
      <w:start w:val="1"/>
      <w:numFmt w:val="bullet"/>
      <w:lvlText w:val=""/>
      <w:lvlJc w:val="left"/>
      <w:pPr>
        <w:ind w:left="720" w:hanging="360"/>
      </w:pPr>
      <w:rPr>
        <w:rFonts w:ascii="Symbol" w:hAnsi="Symbol" w:hint="default"/>
      </w:rPr>
    </w:lvl>
    <w:lvl w:ilvl="1" w:tplc="3D289242" w:tentative="1">
      <w:start w:val="1"/>
      <w:numFmt w:val="bullet"/>
      <w:lvlText w:val="o"/>
      <w:lvlJc w:val="left"/>
      <w:pPr>
        <w:ind w:left="1440" w:hanging="360"/>
      </w:pPr>
      <w:rPr>
        <w:rFonts w:ascii="Courier New" w:hAnsi="Courier New" w:cs="Courier New" w:hint="default"/>
      </w:rPr>
    </w:lvl>
    <w:lvl w:ilvl="2" w:tplc="6D40BF84" w:tentative="1">
      <w:start w:val="1"/>
      <w:numFmt w:val="bullet"/>
      <w:lvlText w:val=""/>
      <w:lvlJc w:val="left"/>
      <w:pPr>
        <w:ind w:left="2160" w:hanging="360"/>
      </w:pPr>
      <w:rPr>
        <w:rFonts w:ascii="Wingdings" w:hAnsi="Wingdings" w:hint="default"/>
      </w:rPr>
    </w:lvl>
    <w:lvl w:ilvl="3" w:tplc="B25C095C" w:tentative="1">
      <w:start w:val="1"/>
      <w:numFmt w:val="bullet"/>
      <w:lvlText w:val=""/>
      <w:lvlJc w:val="left"/>
      <w:pPr>
        <w:ind w:left="2880" w:hanging="360"/>
      </w:pPr>
      <w:rPr>
        <w:rFonts w:ascii="Symbol" w:hAnsi="Symbol" w:hint="default"/>
      </w:rPr>
    </w:lvl>
    <w:lvl w:ilvl="4" w:tplc="89760BF8" w:tentative="1">
      <w:start w:val="1"/>
      <w:numFmt w:val="bullet"/>
      <w:lvlText w:val="o"/>
      <w:lvlJc w:val="left"/>
      <w:pPr>
        <w:ind w:left="3600" w:hanging="360"/>
      </w:pPr>
      <w:rPr>
        <w:rFonts w:ascii="Courier New" w:hAnsi="Courier New" w:cs="Courier New" w:hint="default"/>
      </w:rPr>
    </w:lvl>
    <w:lvl w:ilvl="5" w:tplc="A072B8FA" w:tentative="1">
      <w:start w:val="1"/>
      <w:numFmt w:val="bullet"/>
      <w:lvlText w:val=""/>
      <w:lvlJc w:val="left"/>
      <w:pPr>
        <w:ind w:left="4320" w:hanging="360"/>
      </w:pPr>
      <w:rPr>
        <w:rFonts w:ascii="Wingdings" w:hAnsi="Wingdings" w:hint="default"/>
      </w:rPr>
    </w:lvl>
    <w:lvl w:ilvl="6" w:tplc="BD1A3FB6" w:tentative="1">
      <w:start w:val="1"/>
      <w:numFmt w:val="bullet"/>
      <w:lvlText w:val=""/>
      <w:lvlJc w:val="left"/>
      <w:pPr>
        <w:ind w:left="5040" w:hanging="360"/>
      </w:pPr>
      <w:rPr>
        <w:rFonts w:ascii="Symbol" w:hAnsi="Symbol" w:hint="default"/>
      </w:rPr>
    </w:lvl>
    <w:lvl w:ilvl="7" w:tplc="78E8DCB2" w:tentative="1">
      <w:start w:val="1"/>
      <w:numFmt w:val="bullet"/>
      <w:lvlText w:val="o"/>
      <w:lvlJc w:val="left"/>
      <w:pPr>
        <w:ind w:left="5760" w:hanging="360"/>
      </w:pPr>
      <w:rPr>
        <w:rFonts w:ascii="Courier New" w:hAnsi="Courier New" w:cs="Courier New" w:hint="default"/>
      </w:rPr>
    </w:lvl>
    <w:lvl w:ilvl="8" w:tplc="5484C9E6" w:tentative="1">
      <w:start w:val="1"/>
      <w:numFmt w:val="bullet"/>
      <w:lvlText w:val=""/>
      <w:lvlJc w:val="left"/>
      <w:pPr>
        <w:ind w:left="6480" w:hanging="360"/>
      </w:pPr>
      <w:rPr>
        <w:rFonts w:ascii="Wingdings" w:hAnsi="Wingdings" w:hint="default"/>
      </w:rPr>
    </w:lvl>
  </w:abstractNum>
  <w:abstractNum w:abstractNumId="23" w15:restartNumberingAfterBreak="0">
    <w:nsid w:val="7B943FCB"/>
    <w:multiLevelType w:val="multilevel"/>
    <w:tmpl w:val="20C6D0A0"/>
    <w:lvl w:ilvl="0">
      <w:start w:val="1"/>
      <w:numFmt w:val="bullet"/>
      <w:lvlText w:val=""/>
      <w:lvlJc w:val="left"/>
      <w:pPr>
        <w:ind w:left="360" w:hanging="36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sz w:val="15"/>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4" w15:restartNumberingAfterBreak="0">
    <w:nsid w:val="7CFC19AF"/>
    <w:multiLevelType w:val="multilevel"/>
    <w:tmpl w:val="0A945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CB6DE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FCB6DE1"/>
    <w:multiLevelType w:val="hybridMultilevel"/>
    <w:tmpl w:val="78CCCB6C"/>
    <w:lvl w:ilvl="0" w:tplc="D80825C4">
      <w:numFmt w:val="bullet"/>
      <w:lvlText w:val="•"/>
      <w:lvlJc w:val="left"/>
      <w:pPr>
        <w:ind w:left="1080" w:hanging="720"/>
      </w:pPr>
      <w:rPr>
        <w:rFonts w:ascii="Arial" w:eastAsiaTheme="minorEastAsia" w:hAnsi="Arial" w:cs="Arial" w:hint="default"/>
      </w:rPr>
    </w:lvl>
    <w:lvl w:ilvl="1" w:tplc="12687132" w:tentative="1">
      <w:start w:val="1"/>
      <w:numFmt w:val="bullet"/>
      <w:lvlText w:val="o"/>
      <w:lvlJc w:val="left"/>
      <w:pPr>
        <w:ind w:left="1440" w:hanging="360"/>
      </w:pPr>
      <w:rPr>
        <w:rFonts w:ascii="Courier New" w:hAnsi="Courier New" w:cs="Courier New" w:hint="default"/>
      </w:rPr>
    </w:lvl>
    <w:lvl w:ilvl="2" w:tplc="2F181692" w:tentative="1">
      <w:start w:val="1"/>
      <w:numFmt w:val="bullet"/>
      <w:lvlText w:val=""/>
      <w:lvlJc w:val="left"/>
      <w:pPr>
        <w:ind w:left="2160" w:hanging="360"/>
      </w:pPr>
      <w:rPr>
        <w:rFonts w:ascii="Wingdings" w:hAnsi="Wingdings" w:hint="default"/>
      </w:rPr>
    </w:lvl>
    <w:lvl w:ilvl="3" w:tplc="1F6CE87A" w:tentative="1">
      <w:start w:val="1"/>
      <w:numFmt w:val="bullet"/>
      <w:lvlText w:val=""/>
      <w:lvlJc w:val="left"/>
      <w:pPr>
        <w:ind w:left="2880" w:hanging="360"/>
      </w:pPr>
      <w:rPr>
        <w:rFonts w:ascii="Symbol" w:hAnsi="Symbol" w:hint="default"/>
      </w:rPr>
    </w:lvl>
    <w:lvl w:ilvl="4" w:tplc="271604B0" w:tentative="1">
      <w:start w:val="1"/>
      <w:numFmt w:val="bullet"/>
      <w:lvlText w:val="o"/>
      <w:lvlJc w:val="left"/>
      <w:pPr>
        <w:ind w:left="3600" w:hanging="360"/>
      </w:pPr>
      <w:rPr>
        <w:rFonts w:ascii="Courier New" w:hAnsi="Courier New" w:cs="Courier New" w:hint="default"/>
      </w:rPr>
    </w:lvl>
    <w:lvl w:ilvl="5" w:tplc="15C0AF40" w:tentative="1">
      <w:start w:val="1"/>
      <w:numFmt w:val="bullet"/>
      <w:lvlText w:val=""/>
      <w:lvlJc w:val="left"/>
      <w:pPr>
        <w:ind w:left="4320" w:hanging="360"/>
      </w:pPr>
      <w:rPr>
        <w:rFonts w:ascii="Wingdings" w:hAnsi="Wingdings" w:hint="default"/>
      </w:rPr>
    </w:lvl>
    <w:lvl w:ilvl="6" w:tplc="C49C2902" w:tentative="1">
      <w:start w:val="1"/>
      <w:numFmt w:val="bullet"/>
      <w:lvlText w:val=""/>
      <w:lvlJc w:val="left"/>
      <w:pPr>
        <w:ind w:left="5040" w:hanging="360"/>
      </w:pPr>
      <w:rPr>
        <w:rFonts w:ascii="Symbol" w:hAnsi="Symbol" w:hint="default"/>
      </w:rPr>
    </w:lvl>
    <w:lvl w:ilvl="7" w:tplc="7610D6E4" w:tentative="1">
      <w:start w:val="1"/>
      <w:numFmt w:val="bullet"/>
      <w:lvlText w:val="o"/>
      <w:lvlJc w:val="left"/>
      <w:pPr>
        <w:ind w:left="5760" w:hanging="360"/>
      </w:pPr>
      <w:rPr>
        <w:rFonts w:ascii="Courier New" w:hAnsi="Courier New" w:cs="Courier New" w:hint="default"/>
      </w:rPr>
    </w:lvl>
    <w:lvl w:ilvl="8" w:tplc="A5C62A0A" w:tentative="1">
      <w:start w:val="1"/>
      <w:numFmt w:val="bullet"/>
      <w:lvlText w:val=""/>
      <w:lvlJc w:val="left"/>
      <w:pPr>
        <w:ind w:left="6480" w:hanging="360"/>
      </w:pPr>
      <w:rPr>
        <w:rFonts w:ascii="Wingdings" w:hAnsi="Wingdings" w:hint="default"/>
      </w:rPr>
    </w:lvl>
  </w:abstractNum>
  <w:abstractNum w:abstractNumId="27" w15:restartNumberingAfterBreak="0">
    <w:nsid w:val="7FCB6DE2"/>
    <w:multiLevelType w:val="hybridMultilevel"/>
    <w:tmpl w:val="0D76C286"/>
    <w:lvl w:ilvl="0" w:tplc="06CAF4C0">
      <w:start w:val="1"/>
      <w:numFmt w:val="decimal"/>
      <w:lvlText w:val="%1."/>
      <w:lvlJc w:val="left"/>
      <w:pPr>
        <w:ind w:left="360" w:hanging="360"/>
      </w:pPr>
    </w:lvl>
    <w:lvl w:ilvl="1" w:tplc="243A3FEA" w:tentative="1">
      <w:start w:val="1"/>
      <w:numFmt w:val="lowerLetter"/>
      <w:lvlText w:val="%2."/>
      <w:lvlJc w:val="left"/>
      <w:pPr>
        <w:ind w:left="1080" w:hanging="360"/>
      </w:pPr>
    </w:lvl>
    <w:lvl w:ilvl="2" w:tplc="71402582" w:tentative="1">
      <w:start w:val="1"/>
      <w:numFmt w:val="lowerRoman"/>
      <w:lvlText w:val="%3."/>
      <w:lvlJc w:val="right"/>
      <w:pPr>
        <w:ind w:left="1800" w:hanging="180"/>
      </w:pPr>
    </w:lvl>
    <w:lvl w:ilvl="3" w:tplc="52F29FA0" w:tentative="1">
      <w:start w:val="1"/>
      <w:numFmt w:val="decimal"/>
      <w:lvlText w:val="%4."/>
      <w:lvlJc w:val="left"/>
      <w:pPr>
        <w:ind w:left="2520" w:hanging="360"/>
      </w:pPr>
    </w:lvl>
    <w:lvl w:ilvl="4" w:tplc="44669440" w:tentative="1">
      <w:start w:val="1"/>
      <w:numFmt w:val="lowerLetter"/>
      <w:lvlText w:val="%5."/>
      <w:lvlJc w:val="left"/>
      <w:pPr>
        <w:ind w:left="3240" w:hanging="360"/>
      </w:pPr>
    </w:lvl>
    <w:lvl w:ilvl="5" w:tplc="018827DE" w:tentative="1">
      <w:start w:val="1"/>
      <w:numFmt w:val="lowerRoman"/>
      <w:lvlText w:val="%6."/>
      <w:lvlJc w:val="right"/>
      <w:pPr>
        <w:ind w:left="3960" w:hanging="180"/>
      </w:pPr>
    </w:lvl>
    <w:lvl w:ilvl="6" w:tplc="E07CA5C2" w:tentative="1">
      <w:start w:val="1"/>
      <w:numFmt w:val="decimal"/>
      <w:lvlText w:val="%7."/>
      <w:lvlJc w:val="left"/>
      <w:pPr>
        <w:ind w:left="4680" w:hanging="360"/>
      </w:pPr>
    </w:lvl>
    <w:lvl w:ilvl="7" w:tplc="AC04B1A6" w:tentative="1">
      <w:start w:val="1"/>
      <w:numFmt w:val="lowerLetter"/>
      <w:lvlText w:val="%8."/>
      <w:lvlJc w:val="left"/>
      <w:pPr>
        <w:ind w:left="5400" w:hanging="360"/>
      </w:pPr>
    </w:lvl>
    <w:lvl w:ilvl="8" w:tplc="E4CC2404" w:tentative="1">
      <w:start w:val="1"/>
      <w:numFmt w:val="lowerRoman"/>
      <w:lvlText w:val="%9."/>
      <w:lvlJc w:val="right"/>
      <w:pPr>
        <w:ind w:left="6120" w:hanging="180"/>
      </w:pPr>
    </w:lvl>
  </w:abstractNum>
  <w:abstractNum w:abstractNumId="28" w15:restartNumberingAfterBreak="0">
    <w:nsid w:val="7FCB6DE3"/>
    <w:multiLevelType w:val="hybridMultilevel"/>
    <w:tmpl w:val="BDA61AAC"/>
    <w:lvl w:ilvl="0" w:tplc="A792FB3A">
      <w:start w:val="1"/>
      <w:numFmt w:val="bullet"/>
      <w:lvlText w:val=""/>
      <w:lvlJc w:val="left"/>
      <w:pPr>
        <w:ind w:left="720" w:hanging="360"/>
      </w:pPr>
      <w:rPr>
        <w:rFonts w:ascii="Symbol" w:hAnsi="Symbol" w:hint="default"/>
      </w:rPr>
    </w:lvl>
    <w:lvl w:ilvl="1" w:tplc="8A82482A">
      <w:start w:val="1"/>
      <w:numFmt w:val="bullet"/>
      <w:lvlText w:val="o"/>
      <w:lvlJc w:val="left"/>
      <w:pPr>
        <w:ind w:left="1440" w:hanging="360"/>
      </w:pPr>
      <w:rPr>
        <w:rFonts w:ascii="Courier New" w:hAnsi="Courier New" w:cs="Courier New" w:hint="default"/>
      </w:rPr>
    </w:lvl>
    <w:lvl w:ilvl="2" w:tplc="DE2E1A28" w:tentative="1">
      <w:start w:val="1"/>
      <w:numFmt w:val="bullet"/>
      <w:lvlText w:val=""/>
      <w:lvlJc w:val="left"/>
      <w:pPr>
        <w:ind w:left="2160" w:hanging="360"/>
      </w:pPr>
      <w:rPr>
        <w:rFonts w:ascii="Wingdings" w:hAnsi="Wingdings" w:hint="default"/>
      </w:rPr>
    </w:lvl>
    <w:lvl w:ilvl="3" w:tplc="E1FAE07E" w:tentative="1">
      <w:start w:val="1"/>
      <w:numFmt w:val="bullet"/>
      <w:lvlText w:val=""/>
      <w:lvlJc w:val="left"/>
      <w:pPr>
        <w:ind w:left="2880" w:hanging="360"/>
      </w:pPr>
      <w:rPr>
        <w:rFonts w:ascii="Symbol" w:hAnsi="Symbol" w:hint="default"/>
      </w:rPr>
    </w:lvl>
    <w:lvl w:ilvl="4" w:tplc="EDA201F6" w:tentative="1">
      <w:start w:val="1"/>
      <w:numFmt w:val="bullet"/>
      <w:lvlText w:val="o"/>
      <w:lvlJc w:val="left"/>
      <w:pPr>
        <w:ind w:left="3600" w:hanging="360"/>
      </w:pPr>
      <w:rPr>
        <w:rFonts w:ascii="Courier New" w:hAnsi="Courier New" w:cs="Courier New" w:hint="default"/>
      </w:rPr>
    </w:lvl>
    <w:lvl w:ilvl="5" w:tplc="841C9892" w:tentative="1">
      <w:start w:val="1"/>
      <w:numFmt w:val="bullet"/>
      <w:lvlText w:val=""/>
      <w:lvlJc w:val="left"/>
      <w:pPr>
        <w:ind w:left="4320" w:hanging="360"/>
      </w:pPr>
      <w:rPr>
        <w:rFonts w:ascii="Wingdings" w:hAnsi="Wingdings" w:hint="default"/>
      </w:rPr>
    </w:lvl>
    <w:lvl w:ilvl="6" w:tplc="A3D8236E" w:tentative="1">
      <w:start w:val="1"/>
      <w:numFmt w:val="bullet"/>
      <w:lvlText w:val=""/>
      <w:lvlJc w:val="left"/>
      <w:pPr>
        <w:ind w:left="5040" w:hanging="360"/>
      </w:pPr>
      <w:rPr>
        <w:rFonts w:ascii="Symbol" w:hAnsi="Symbol" w:hint="default"/>
      </w:rPr>
    </w:lvl>
    <w:lvl w:ilvl="7" w:tplc="B7524C22" w:tentative="1">
      <w:start w:val="1"/>
      <w:numFmt w:val="bullet"/>
      <w:lvlText w:val="o"/>
      <w:lvlJc w:val="left"/>
      <w:pPr>
        <w:ind w:left="5760" w:hanging="360"/>
      </w:pPr>
      <w:rPr>
        <w:rFonts w:ascii="Courier New" w:hAnsi="Courier New" w:cs="Courier New" w:hint="default"/>
      </w:rPr>
    </w:lvl>
    <w:lvl w:ilvl="8" w:tplc="2CD2F6AE" w:tentative="1">
      <w:start w:val="1"/>
      <w:numFmt w:val="bullet"/>
      <w:lvlText w:val=""/>
      <w:lvlJc w:val="left"/>
      <w:pPr>
        <w:ind w:left="6480" w:hanging="360"/>
      </w:pPr>
      <w:rPr>
        <w:rFonts w:ascii="Wingdings" w:hAnsi="Wingdings" w:hint="default"/>
      </w:rPr>
    </w:lvl>
  </w:abstractNum>
  <w:abstractNum w:abstractNumId="29" w15:restartNumberingAfterBreak="0">
    <w:nsid w:val="7FCB6DE4"/>
    <w:multiLevelType w:val="hybridMultilevel"/>
    <w:tmpl w:val="5E7875AC"/>
    <w:lvl w:ilvl="0" w:tplc="17207140">
      <w:numFmt w:val="bullet"/>
      <w:lvlText w:val="-"/>
      <w:lvlJc w:val="left"/>
      <w:pPr>
        <w:ind w:left="1440" w:hanging="360"/>
      </w:pPr>
      <w:rPr>
        <w:rFonts w:ascii="Arial" w:eastAsia="Arial" w:hAnsi="Arial" w:cs="Arial" w:hint="default"/>
      </w:rPr>
    </w:lvl>
    <w:lvl w:ilvl="1" w:tplc="064E5C1E">
      <w:start w:val="1"/>
      <w:numFmt w:val="bullet"/>
      <w:lvlText w:val="o"/>
      <w:lvlJc w:val="left"/>
      <w:pPr>
        <w:ind w:left="2160" w:hanging="360"/>
      </w:pPr>
      <w:rPr>
        <w:rFonts w:ascii="Courier New" w:hAnsi="Courier New" w:cs="Courier New" w:hint="default"/>
      </w:rPr>
    </w:lvl>
    <w:lvl w:ilvl="2" w:tplc="54D600C2" w:tentative="1">
      <w:start w:val="1"/>
      <w:numFmt w:val="bullet"/>
      <w:lvlText w:val=""/>
      <w:lvlJc w:val="left"/>
      <w:pPr>
        <w:ind w:left="2880" w:hanging="360"/>
      </w:pPr>
      <w:rPr>
        <w:rFonts w:ascii="Wingdings" w:hAnsi="Wingdings" w:hint="default"/>
      </w:rPr>
    </w:lvl>
    <w:lvl w:ilvl="3" w:tplc="67E8CE3A" w:tentative="1">
      <w:start w:val="1"/>
      <w:numFmt w:val="bullet"/>
      <w:lvlText w:val=""/>
      <w:lvlJc w:val="left"/>
      <w:pPr>
        <w:ind w:left="3600" w:hanging="360"/>
      </w:pPr>
      <w:rPr>
        <w:rFonts w:ascii="Symbol" w:hAnsi="Symbol" w:hint="default"/>
      </w:rPr>
    </w:lvl>
    <w:lvl w:ilvl="4" w:tplc="446C7120" w:tentative="1">
      <w:start w:val="1"/>
      <w:numFmt w:val="bullet"/>
      <w:lvlText w:val="o"/>
      <w:lvlJc w:val="left"/>
      <w:pPr>
        <w:ind w:left="4320" w:hanging="360"/>
      </w:pPr>
      <w:rPr>
        <w:rFonts w:ascii="Courier New" w:hAnsi="Courier New" w:cs="Courier New" w:hint="default"/>
      </w:rPr>
    </w:lvl>
    <w:lvl w:ilvl="5" w:tplc="44F83B30" w:tentative="1">
      <w:start w:val="1"/>
      <w:numFmt w:val="bullet"/>
      <w:lvlText w:val=""/>
      <w:lvlJc w:val="left"/>
      <w:pPr>
        <w:ind w:left="5040" w:hanging="360"/>
      </w:pPr>
      <w:rPr>
        <w:rFonts w:ascii="Wingdings" w:hAnsi="Wingdings" w:hint="default"/>
      </w:rPr>
    </w:lvl>
    <w:lvl w:ilvl="6" w:tplc="F53C9CD2" w:tentative="1">
      <w:start w:val="1"/>
      <w:numFmt w:val="bullet"/>
      <w:lvlText w:val=""/>
      <w:lvlJc w:val="left"/>
      <w:pPr>
        <w:ind w:left="5760" w:hanging="360"/>
      </w:pPr>
      <w:rPr>
        <w:rFonts w:ascii="Symbol" w:hAnsi="Symbol" w:hint="default"/>
      </w:rPr>
    </w:lvl>
    <w:lvl w:ilvl="7" w:tplc="9AC89B84" w:tentative="1">
      <w:start w:val="1"/>
      <w:numFmt w:val="bullet"/>
      <w:lvlText w:val="o"/>
      <w:lvlJc w:val="left"/>
      <w:pPr>
        <w:ind w:left="6480" w:hanging="360"/>
      </w:pPr>
      <w:rPr>
        <w:rFonts w:ascii="Courier New" w:hAnsi="Courier New" w:cs="Courier New" w:hint="default"/>
      </w:rPr>
    </w:lvl>
    <w:lvl w:ilvl="8" w:tplc="829881A8" w:tentative="1">
      <w:start w:val="1"/>
      <w:numFmt w:val="bullet"/>
      <w:lvlText w:val=""/>
      <w:lvlJc w:val="left"/>
      <w:pPr>
        <w:ind w:left="7200" w:hanging="360"/>
      </w:pPr>
      <w:rPr>
        <w:rFonts w:ascii="Wingdings" w:hAnsi="Wingdings" w:hint="default"/>
      </w:rPr>
    </w:lvl>
  </w:abstractNum>
  <w:abstractNum w:abstractNumId="30" w15:restartNumberingAfterBreak="0">
    <w:nsid w:val="7FCB6DE5"/>
    <w:multiLevelType w:val="hybridMultilevel"/>
    <w:tmpl w:val="8DB4C5EC"/>
    <w:lvl w:ilvl="0" w:tplc="AEB04A9A">
      <w:start w:val="1"/>
      <w:numFmt w:val="bullet"/>
      <w:lvlText w:val=""/>
      <w:lvlJc w:val="left"/>
      <w:pPr>
        <w:ind w:left="720" w:hanging="360"/>
      </w:pPr>
      <w:rPr>
        <w:rFonts w:ascii="Symbol" w:hAnsi="Symbol" w:hint="default"/>
      </w:rPr>
    </w:lvl>
    <w:lvl w:ilvl="1" w:tplc="65C80182">
      <w:start w:val="1"/>
      <w:numFmt w:val="bullet"/>
      <w:lvlText w:val="o"/>
      <w:lvlJc w:val="left"/>
      <w:pPr>
        <w:ind w:left="1440" w:hanging="360"/>
      </w:pPr>
      <w:rPr>
        <w:rFonts w:ascii="Courier New" w:hAnsi="Courier New" w:cs="Courier New" w:hint="default"/>
      </w:rPr>
    </w:lvl>
    <w:lvl w:ilvl="2" w:tplc="3E223366" w:tentative="1">
      <w:start w:val="1"/>
      <w:numFmt w:val="bullet"/>
      <w:lvlText w:val=""/>
      <w:lvlJc w:val="left"/>
      <w:pPr>
        <w:ind w:left="2160" w:hanging="360"/>
      </w:pPr>
      <w:rPr>
        <w:rFonts w:ascii="Wingdings" w:hAnsi="Wingdings" w:hint="default"/>
      </w:rPr>
    </w:lvl>
    <w:lvl w:ilvl="3" w:tplc="3EAA8B6E" w:tentative="1">
      <w:start w:val="1"/>
      <w:numFmt w:val="bullet"/>
      <w:lvlText w:val=""/>
      <w:lvlJc w:val="left"/>
      <w:pPr>
        <w:ind w:left="2880" w:hanging="360"/>
      </w:pPr>
      <w:rPr>
        <w:rFonts w:ascii="Symbol" w:hAnsi="Symbol" w:hint="default"/>
      </w:rPr>
    </w:lvl>
    <w:lvl w:ilvl="4" w:tplc="910C0AB4" w:tentative="1">
      <w:start w:val="1"/>
      <w:numFmt w:val="bullet"/>
      <w:lvlText w:val="o"/>
      <w:lvlJc w:val="left"/>
      <w:pPr>
        <w:ind w:left="3600" w:hanging="360"/>
      </w:pPr>
      <w:rPr>
        <w:rFonts w:ascii="Courier New" w:hAnsi="Courier New" w:cs="Courier New" w:hint="default"/>
      </w:rPr>
    </w:lvl>
    <w:lvl w:ilvl="5" w:tplc="1802615C" w:tentative="1">
      <w:start w:val="1"/>
      <w:numFmt w:val="bullet"/>
      <w:lvlText w:val=""/>
      <w:lvlJc w:val="left"/>
      <w:pPr>
        <w:ind w:left="4320" w:hanging="360"/>
      </w:pPr>
      <w:rPr>
        <w:rFonts w:ascii="Wingdings" w:hAnsi="Wingdings" w:hint="default"/>
      </w:rPr>
    </w:lvl>
    <w:lvl w:ilvl="6" w:tplc="5C28C0A4" w:tentative="1">
      <w:start w:val="1"/>
      <w:numFmt w:val="bullet"/>
      <w:lvlText w:val=""/>
      <w:lvlJc w:val="left"/>
      <w:pPr>
        <w:ind w:left="5040" w:hanging="360"/>
      </w:pPr>
      <w:rPr>
        <w:rFonts w:ascii="Symbol" w:hAnsi="Symbol" w:hint="default"/>
      </w:rPr>
    </w:lvl>
    <w:lvl w:ilvl="7" w:tplc="037CFC9C" w:tentative="1">
      <w:start w:val="1"/>
      <w:numFmt w:val="bullet"/>
      <w:lvlText w:val="o"/>
      <w:lvlJc w:val="left"/>
      <w:pPr>
        <w:ind w:left="5760" w:hanging="360"/>
      </w:pPr>
      <w:rPr>
        <w:rFonts w:ascii="Courier New" w:hAnsi="Courier New" w:cs="Courier New" w:hint="default"/>
      </w:rPr>
    </w:lvl>
    <w:lvl w:ilvl="8" w:tplc="7160CE22" w:tentative="1">
      <w:start w:val="1"/>
      <w:numFmt w:val="bullet"/>
      <w:lvlText w:val=""/>
      <w:lvlJc w:val="left"/>
      <w:pPr>
        <w:ind w:left="6480" w:hanging="360"/>
      </w:pPr>
      <w:rPr>
        <w:rFonts w:ascii="Wingdings" w:hAnsi="Wingdings" w:hint="default"/>
      </w:rPr>
    </w:lvl>
  </w:abstractNum>
  <w:abstractNum w:abstractNumId="31" w15:restartNumberingAfterBreak="0">
    <w:nsid w:val="7FCB6DE6"/>
    <w:multiLevelType w:val="hybridMultilevel"/>
    <w:tmpl w:val="A88A4F78"/>
    <w:lvl w:ilvl="0" w:tplc="CFF6B6D8">
      <w:start w:val="1"/>
      <w:numFmt w:val="bullet"/>
      <w:lvlText w:val=""/>
      <w:lvlJc w:val="left"/>
      <w:pPr>
        <w:ind w:left="720" w:hanging="360"/>
      </w:pPr>
      <w:rPr>
        <w:rFonts w:ascii="Symbol" w:hAnsi="Symbol" w:hint="default"/>
      </w:rPr>
    </w:lvl>
    <w:lvl w:ilvl="1" w:tplc="F7426314">
      <w:numFmt w:val="bullet"/>
      <w:lvlText w:val="-"/>
      <w:lvlJc w:val="left"/>
      <w:pPr>
        <w:ind w:left="1440" w:hanging="360"/>
      </w:pPr>
      <w:rPr>
        <w:rFonts w:ascii="Arial" w:eastAsia="Arial" w:hAnsi="Arial" w:cs="Arial" w:hint="default"/>
      </w:rPr>
    </w:lvl>
    <w:lvl w:ilvl="2" w:tplc="59D4A84E" w:tentative="1">
      <w:start w:val="1"/>
      <w:numFmt w:val="bullet"/>
      <w:lvlText w:val=""/>
      <w:lvlJc w:val="left"/>
      <w:pPr>
        <w:ind w:left="2160" w:hanging="360"/>
      </w:pPr>
      <w:rPr>
        <w:rFonts w:ascii="Wingdings" w:hAnsi="Wingdings" w:hint="default"/>
      </w:rPr>
    </w:lvl>
    <w:lvl w:ilvl="3" w:tplc="2CC0221E" w:tentative="1">
      <w:start w:val="1"/>
      <w:numFmt w:val="bullet"/>
      <w:lvlText w:val=""/>
      <w:lvlJc w:val="left"/>
      <w:pPr>
        <w:ind w:left="2880" w:hanging="360"/>
      </w:pPr>
      <w:rPr>
        <w:rFonts w:ascii="Symbol" w:hAnsi="Symbol" w:hint="default"/>
      </w:rPr>
    </w:lvl>
    <w:lvl w:ilvl="4" w:tplc="3ED28334" w:tentative="1">
      <w:start w:val="1"/>
      <w:numFmt w:val="bullet"/>
      <w:lvlText w:val="o"/>
      <w:lvlJc w:val="left"/>
      <w:pPr>
        <w:ind w:left="3600" w:hanging="360"/>
      </w:pPr>
      <w:rPr>
        <w:rFonts w:ascii="Courier New" w:hAnsi="Courier New" w:cs="Courier New" w:hint="default"/>
      </w:rPr>
    </w:lvl>
    <w:lvl w:ilvl="5" w:tplc="F99C7B18" w:tentative="1">
      <w:start w:val="1"/>
      <w:numFmt w:val="bullet"/>
      <w:lvlText w:val=""/>
      <w:lvlJc w:val="left"/>
      <w:pPr>
        <w:ind w:left="4320" w:hanging="360"/>
      </w:pPr>
      <w:rPr>
        <w:rFonts w:ascii="Wingdings" w:hAnsi="Wingdings" w:hint="default"/>
      </w:rPr>
    </w:lvl>
    <w:lvl w:ilvl="6" w:tplc="BAF84AD8" w:tentative="1">
      <w:start w:val="1"/>
      <w:numFmt w:val="bullet"/>
      <w:lvlText w:val=""/>
      <w:lvlJc w:val="left"/>
      <w:pPr>
        <w:ind w:left="5040" w:hanging="360"/>
      </w:pPr>
      <w:rPr>
        <w:rFonts w:ascii="Symbol" w:hAnsi="Symbol" w:hint="default"/>
      </w:rPr>
    </w:lvl>
    <w:lvl w:ilvl="7" w:tplc="B05A1B2C" w:tentative="1">
      <w:start w:val="1"/>
      <w:numFmt w:val="bullet"/>
      <w:lvlText w:val="o"/>
      <w:lvlJc w:val="left"/>
      <w:pPr>
        <w:ind w:left="5760" w:hanging="360"/>
      </w:pPr>
      <w:rPr>
        <w:rFonts w:ascii="Courier New" w:hAnsi="Courier New" w:cs="Courier New" w:hint="default"/>
      </w:rPr>
    </w:lvl>
    <w:lvl w:ilvl="8" w:tplc="D24AEF98"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2"/>
  </w:num>
  <w:num w:numId="13">
    <w:abstractNumId w:val="25"/>
  </w:num>
  <w:num w:numId="14">
    <w:abstractNumId w:val="19"/>
  </w:num>
  <w:num w:numId="15">
    <w:abstractNumId w:val="23"/>
  </w:num>
  <w:num w:numId="16">
    <w:abstractNumId w:val="14"/>
  </w:num>
  <w:num w:numId="17">
    <w:abstractNumId w:val="16"/>
  </w:num>
  <w:num w:numId="18">
    <w:abstractNumId w:val="24"/>
  </w:num>
  <w:num w:numId="19">
    <w:abstractNumId w:val="11"/>
  </w:num>
  <w:num w:numId="20">
    <w:abstractNumId w:val="21"/>
  </w:num>
  <w:num w:numId="21">
    <w:abstractNumId w:val="18"/>
  </w:num>
  <w:num w:numId="22">
    <w:abstractNumId w:val="22"/>
  </w:num>
  <w:num w:numId="23">
    <w:abstractNumId w:val="20"/>
  </w:num>
  <w:num w:numId="24">
    <w:abstractNumId w:val="13"/>
  </w:num>
  <w:num w:numId="25">
    <w:abstractNumId w:val="15"/>
  </w:num>
  <w:num w:numId="26">
    <w:abstractNumId w:val="17"/>
  </w:num>
  <w:num w:numId="27">
    <w:abstractNumId w:val="26"/>
  </w:num>
  <w:num w:numId="28">
    <w:abstractNumId w:val="27"/>
  </w:num>
  <w:num w:numId="29">
    <w:abstractNumId w:val="28"/>
  </w:num>
  <w:num w:numId="30">
    <w:abstractNumId w:val="29"/>
  </w:num>
  <w:num w:numId="31">
    <w:abstractNumId w:val="30"/>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stylePaneSortMethod w:val="0000"/>
  <w:mailMerge>
    <w:mainDocumentType w:val="formLetters"/>
    <w:dataType w:val="textFile"/>
    <w:connectString w:val=""/>
    <w:activeRecord w:val="-1"/>
    <w:odso/>
  </w:mailMerge>
  <w:documentProtection w:enforcement="0"/>
  <w:autoFormatOverride/>
  <w:defaultTabStop w:val="720"/>
  <w:drawingGridHorizontalSpacing w:val="90"/>
  <w:displayHorizontalDrawingGridEvery w:val="2"/>
  <w:displayVerticalDrawingGridEvery w:val="2"/>
  <w:characterSpacingControl w:val="doNotCompress"/>
  <w:hdrShapeDefaults>
    <o:shapedefaults v:ext="edit" spidmax="3074"/>
    <o:shapelayout v:ext="edit">
      <o:idmap v:ext="edit" data="1,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0A1"/>
    <w:rsid w:val="003360A1"/>
    <w:rsid w:val="004872F1"/>
    <w:rsid w:val="00B5111D"/>
    <w:rsid w:val="00E053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3"/>
    </o:shapelayout>
  </w:shapeDefaults>
  <w:decimalSymbol w:val="."/>
  <w:listSeparator w:val=","/>
  <w15:docId w15:val="{47158521-758A-4DA9-9F1A-799026B58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1" w:defUIPriority="99" w:defSemiHidden="0" w:defUnhideWhenUsed="0" w:defQFormat="0" w:count="371">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semiHidden="1" w:uiPriority="34" w:qFormat="1"/>
    <w:lsdException w:name="Quote"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atentStyles>
  <w:style w:type="paragraph" w:default="1" w:styleId="Normal">
    <w:name w:val="Normal"/>
    <w:semiHidden/>
    <w:qFormat/>
    <w:rsid w:val="00127682"/>
    <w:pPr>
      <w:spacing w:after="120" w:line="240" w:lineRule="atLeast"/>
    </w:pPr>
    <w:rPr>
      <w:rFonts w:ascii="Arial" w:hAnsi="Arial" w:cs="Arial"/>
      <w:sz w:val="18"/>
      <w:szCs w:val="18"/>
    </w:rPr>
  </w:style>
  <w:style w:type="paragraph" w:styleId="Heading1">
    <w:name w:val="heading 1"/>
    <w:basedOn w:val="Normal"/>
    <w:next w:val="Normal"/>
    <w:link w:val="Heading1Char"/>
    <w:uiPriority w:val="9"/>
    <w:semiHidden/>
    <w:qFormat/>
    <w:locked/>
    <w:rsid w:val="009F2302"/>
    <w:pPr>
      <w:keepNext/>
      <w:keepLines/>
      <w:spacing w:after="40"/>
      <w:outlineLvl w:val="0"/>
    </w:pPr>
    <w:rPr>
      <w:rFonts w:eastAsiaTheme="majorEastAsia" w:cstheme="majorBidi"/>
      <w:b/>
      <w:bCs/>
      <w:caps/>
      <w:color w:val="AF272F"/>
      <w:sz w:val="20"/>
      <w:szCs w:val="20"/>
    </w:rPr>
  </w:style>
  <w:style w:type="paragraph" w:styleId="Heading2">
    <w:name w:val="heading 2"/>
    <w:basedOn w:val="Heading1"/>
    <w:next w:val="Normal"/>
    <w:link w:val="Heading2Char"/>
    <w:uiPriority w:val="9"/>
    <w:semiHidden/>
    <w:qFormat/>
    <w:locked/>
    <w:rsid w:val="00751081"/>
    <w:pPr>
      <w:pBdr>
        <w:top w:val="single" w:sz="8" w:space="3" w:color="AF272F"/>
      </w:pBdr>
      <w:spacing w:before="300"/>
      <w:outlineLvl w:val="1"/>
    </w:pPr>
    <w:rPr>
      <w:bCs w:val="0"/>
    </w:rPr>
  </w:style>
  <w:style w:type="paragraph" w:styleId="Heading3">
    <w:name w:val="heading 3"/>
    <w:basedOn w:val="Normal"/>
    <w:next w:val="Normal"/>
    <w:link w:val="Heading3Char"/>
    <w:uiPriority w:val="9"/>
    <w:semiHidden/>
    <w:qFormat/>
    <w:locked/>
    <w:rsid w:val="00600EB1"/>
    <w:pPr>
      <w:spacing w:before="240"/>
      <w:outlineLvl w:val="2"/>
    </w:pPr>
    <w:rPr>
      <w:b/>
      <w:color w:val="000000" w:themeColor="text1"/>
      <w:sz w:val="20"/>
    </w:rPr>
  </w:style>
  <w:style w:type="paragraph" w:styleId="Heading4">
    <w:name w:val="heading 4"/>
    <w:basedOn w:val="Normal"/>
    <w:next w:val="Normal"/>
    <w:link w:val="Heading4Char"/>
    <w:uiPriority w:val="9"/>
    <w:semiHidden/>
    <w:unhideWhenUsed/>
    <w:qFormat/>
    <w:locked/>
    <w:rsid w:val="00B13A0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SHeading1">
    <w:name w:val="ES_Heading 1"/>
    <w:basedOn w:val="Title"/>
    <w:qFormat/>
    <w:rsid w:val="00D049D0"/>
  </w:style>
  <w:style w:type="paragraph" w:styleId="Quote">
    <w:name w:val="Quote"/>
    <w:basedOn w:val="Normal"/>
    <w:next w:val="Normal"/>
    <w:link w:val="QuoteChar"/>
    <w:uiPriority w:val="29"/>
    <w:semiHidden/>
    <w:qFormat/>
    <w:locked/>
    <w:rsid w:val="00D31299"/>
    <w:pPr>
      <w:spacing w:after="60" w:line="300" w:lineRule="atLeast"/>
    </w:pPr>
    <w:rPr>
      <w:b/>
      <w:bCs/>
      <w:color w:val="5A5A59"/>
      <w:sz w:val="24"/>
      <w:szCs w:val="25"/>
    </w:rPr>
  </w:style>
  <w:style w:type="paragraph" w:styleId="Footer">
    <w:name w:val="footer"/>
    <w:basedOn w:val="Normal"/>
    <w:link w:val="FooterChar"/>
    <w:uiPriority w:val="99"/>
    <w:rsid w:val="00326F48"/>
    <w:pPr>
      <w:tabs>
        <w:tab w:val="center" w:pos="4320"/>
        <w:tab w:val="right" w:pos="8640"/>
      </w:tabs>
    </w:pPr>
  </w:style>
  <w:style w:type="character" w:customStyle="1" w:styleId="FooterChar">
    <w:name w:val="Footer Char"/>
    <w:basedOn w:val="DefaultParagraphFont"/>
    <w:link w:val="Footer"/>
    <w:uiPriority w:val="99"/>
    <w:rsid w:val="005711D2"/>
    <w:rPr>
      <w:rFonts w:ascii="Arial" w:hAnsi="Arial" w:cs="Arial"/>
      <w:sz w:val="18"/>
      <w:szCs w:val="18"/>
    </w:rPr>
  </w:style>
  <w:style w:type="paragraph" w:customStyle="1" w:styleId="ESIntroParagraph">
    <w:name w:val="ES_Intro Paragraph"/>
    <w:basedOn w:val="Subtitle"/>
    <w:qFormat/>
    <w:rsid w:val="00D049D0"/>
  </w:style>
  <w:style w:type="paragraph" w:customStyle="1" w:styleId="ESHeading2">
    <w:name w:val="ES_Heading 2"/>
    <w:basedOn w:val="Heading1"/>
    <w:qFormat/>
    <w:rsid w:val="00895870"/>
    <w:pPr>
      <w:spacing w:before="240" w:after="120"/>
    </w:pPr>
  </w:style>
  <w:style w:type="paragraph" w:styleId="Subtitle">
    <w:name w:val="Subtitle"/>
    <w:basedOn w:val="Normal"/>
    <w:next w:val="Normal"/>
    <w:link w:val="SubtitleChar"/>
    <w:uiPriority w:val="11"/>
    <w:semiHidden/>
    <w:qFormat/>
    <w:locked/>
    <w:rsid w:val="00980015"/>
    <w:pPr>
      <w:numPr>
        <w:ilvl w:val="1"/>
      </w:numPr>
      <w:spacing w:after="0"/>
    </w:pPr>
    <w:rPr>
      <w:rFonts w:eastAsiaTheme="majorEastAsia" w:cstheme="majorBidi"/>
      <w:color w:val="5A5A59"/>
      <w:sz w:val="27"/>
      <w:szCs w:val="27"/>
    </w:rPr>
  </w:style>
  <w:style w:type="character" w:customStyle="1" w:styleId="SubtitleChar">
    <w:name w:val="Subtitle Char"/>
    <w:basedOn w:val="DefaultParagraphFont"/>
    <w:link w:val="Subtitle"/>
    <w:uiPriority w:val="11"/>
    <w:semiHidden/>
    <w:rsid w:val="005711D2"/>
    <w:rPr>
      <w:rFonts w:ascii="Arial" w:eastAsiaTheme="majorEastAsia" w:hAnsi="Arial" w:cstheme="majorBidi"/>
      <w:color w:val="5A5A59"/>
      <w:sz w:val="27"/>
      <w:szCs w:val="27"/>
    </w:rPr>
  </w:style>
  <w:style w:type="character" w:styleId="SubtleEmphasis">
    <w:name w:val="Subtle Emphasis"/>
    <w:basedOn w:val="DefaultParagraphFont"/>
    <w:uiPriority w:val="19"/>
    <w:semiHidden/>
    <w:locked/>
    <w:rsid w:val="00326F48"/>
    <w:rPr>
      <w:i/>
      <w:iCs/>
      <w:color w:val="808080" w:themeColor="text1" w:themeTint="7F"/>
    </w:rPr>
  </w:style>
  <w:style w:type="character" w:styleId="IntenseEmphasis">
    <w:name w:val="Intense Emphasis"/>
    <w:basedOn w:val="DefaultParagraphFont"/>
    <w:uiPriority w:val="21"/>
    <w:semiHidden/>
    <w:locked/>
    <w:rsid w:val="00600EB1"/>
    <w:rPr>
      <w:b/>
      <w:bCs/>
      <w:i/>
      <w:iCs/>
      <w:color w:val="C00000"/>
    </w:rPr>
  </w:style>
  <w:style w:type="character" w:styleId="Emphasis">
    <w:name w:val="Emphasis"/>
    <w:basedOn w:val="DefaultParagraphFont"/>
    <w:uiPriority w:val="20"/>
    <w:semiHidden/>
    <w:locked/>
    <w:rsid w:val="00326F48"/>
    <w:rPr>
      <w:i/>
      <w:iCs/>
    </w:rPr>
  </w:style>
  <w:style w:type="character" w:customStyle="1" w:styleId="Heading1Char">
    <w:name w:val="Heading 1 Char"/>
    <w:basedOn w:val="DefaultParagraphFont"/>
    <w:link w:val="Heading1"/>
    <w:uiPriority w:val="9"/>
    <w:semiHidden/>
    <w:rsid w:val="005711D2"/>
    <w:rPr>
      <w:rFonts w:ascii="Arial" w:eastAsiaTheme="majorEastAsia" w:hAnsi="Arial" w:cstheme="majorBidi"/>
      <w:b/>
      <w:bCs/>
      <w:caps/>
      <w:color w:val="AF272F"/>
      <w:sz w:val="20"/>
      <w:szCs w:val="20"/>
    </w:rPr>
  </w:style>
  <w:style w:type="paragraph" w:styleId="Title">
    <w:name w:val="Title"/>
    <w:next w:val="Subtitle"/>
    <w:link w:val="TitleChar"/>
    <w:uiPriority w:val="10"/>
    <w:semiHidden/>
    <w:qFormat/>
    <w:locked/>
    <w:rsid w:val="009F2302"/>
    <w:pPr>
      <w:spacing w:after="120" w:line="340" w:lineRule="atLeast"/>
      <w:outlineLvl w:val="0"/>
    </w:pPr>
    <w:rPr>
      <w:rFonts w:ascii="Arial" w:eastAsiaTheme="majorEastAsia" w:hAnsi="Arial" w:cstheme="majorBidi"/>
      <w:b/>
      <w:color w:val="AF272F"/>
      <w:spacing w:val="5"/>
      <w:kern w:val="28"/>
      <w:sz w:val="44"/>
      <w:szCs w:val="52"/>
    </w:rPr>
  </w:style>
  <w:style w:type="character" w:customStyle="1" w:styleId="TitleChar">
    <w:name w:val="Title Char"/>
    <w:basedOn w:val="DefaultParagraphFont"/>
    <w:link w:val="Title"/>
    <w:uiPriority w:val="10"/>
    <w:semiHidden/>
    <w:rsid w:val="005711D2"/>
    <w:rPr>
      <w:rFonts w:ascii="Arial" w:eastAsiaTheme="majorEastAsia" w:hAnsi="Arial" w:cstheme="majorBidi"/>
      <w:b/>
      <w:color w:val="AF272F"/>
      <w:spacing w:val="5"/>
      <w:kern w:val="28"/>
      <w:sz w:val="44"/>
      <w:szCs w:val="52"/>
    </w:rPr>
  </w:style>
  <w:style w:type="character" w:customStyle="1" w:styleId="QuoteChar">
    <w:name w:val="Quote Char"/>
    <w:basedOn w:val="DefaultParagraphFont"/>
    <w:link w:val="Quote"/>
    <w:uiPriority w:val="29"/>
    <w:semiHidden/>
    <w:rsid w:val="005711D2"/>
    <w:rPr>
      <w:rFonts w:ascii="Arial" w:hAnsi="Arial" w:cs="Arial"/>
      <w:b/>
      <w:bCs/>
      <w:color w:val="5A5A59"/>
      <w:szCs w:val="25"/>
    </w:rPr>
  </w:style>
  <w:style w:type="paragraph" w:styleId="EndnoteText">
    <w:name w:val="endnote text"/>
    <w:basedOn w:val="Normal"/>
    <w:link w:val="EndnoteTextChar"/>
    <w:uiPriority w:val="99"/>
    <w:semiHidden/>
    <w:qFormat/>
    <w:locked/>
    <w:rsid w:val="00980015"/>
    <w:pPr>
      <w:spacing w:before="120" w:after="240"/>
    </w:pPr>
    <w:rPr>
      <w:b/>
      <w:color w:val="5A5A59"/>
      <w:szCs w:val="24"/>
    </w:rPr>
  </w:style>
  <w:style w:type="character" w:customStyle="1" w:styleId="EndnoteTextChar">
    <w:name w:val="Endnote Text Char"/>
    <w:basedOn w:val="DefaultParagraphFont"/>
    <w:link w:val="EndnoteText"/>
    <w:uiPriority w:val="99"/>
    <w:semiHidden/>
    <w:rsid w:val="005711D2"/>
    <w:rPr>
      <w:rFonts w:ascii="Arial" w:hAnsi="Arial" w:cs="Arial"/>
      <w:b/>
      <w:color w:val="5A5A59"/>
      <w:sz w:val="18"/>
    </w:rPr>
  </w:style>
  <w:style w:type="character" w:customStyle="1" w:styleId="Heading2Char">
    <w:name w:val="Heading 2 Char"/>
    <w:basedOn w:val="DefaultParagraphFont"/>
    <w:link w:val="Heading2"/>
    <w:uiPriority w:val="9"/>
    <w:semiHidden/>
    <w:rsid w:val="005711D2"/>
    <w:rPr>
      <w:rFonts w:ascii="Arial" w:eastAsiaTheme="majorEastAsia" w:hAnsi="Arial" w:cstheme="majorBidi"/>
      <w:b/>
      <w:caps/>
      <w:color w:val="AF272F"/>
      <w:sz w:val="20"/>
      <w:szCs w:val="20"/>
    </w:rPr>
  </w:style>
  <w:style w:type="character" w:styleId="Strong">
    <w:name w:val="Strong"/>
    <w:basedOn w:val="DefaultParagraphFont"/>
    <w:uiPriority w:val="22"/>
    <w:qFormat/>
    <w:locked/>
    <w:rsid w:val="00980015"/>
    <w:rPr>
      <w:b/>
      <w:bCs/>
    </w:rPr>
  </w:style>
  <w:style w:type="paragraph" w:styleId="Header">
    <w:name w:val="header"/>
    <w:basedOn w:val="Normal"/>
    <w:link w:val="HeaderChar"/>
    <w:uiPriority w:val="99"/>
    <w:semiHidden/>
    <w:locked/>
    <w:rsid w:val="0078479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711D2"/>
    <w:rPr>
      <w:rFonts w:ascii="Arial" w:hAnsi="Arial" w:cs="Arial"/>
      <w:sz w:val="18"/>
      <w:szCs w:val="18"/>
    </w:rPr>
  </w:style>
  <w:style w:type="character" w:customStyle="1" w:styleId="Heading3Char">
    <w:name w:val="Heading 3 Char"/>
    <w:basedOn w:val="DefaultParagraphFont"/>
    <w:link w:val="Heading3"/>
    <w:uiPriority w:val="9"/>
    <w:semiHidden/>
    <w:rsid w:val="005711D2"/>
    <w:rPr>
      <w:rFonts w:ascii="Arial" w:hAnsi="Arial" w:cs="Arial"/>
      <w:b/>
      <w:color w:val="000000" w:themeColor="text1"/>
      <w:sz w:val="20"/>
      <w:szCs w:val="18"/>
    </w:rPr>
  </w:style>
  <w:style w:type="paragraph" w:styleId="TOAHeading">
    <w:name w:val="toa heading"/>
    <w:basedOn w:val="Normal"/>
    <w:next w:val="Normal"/>
    <w:uiPriority w:val="99"/>
    <w:semiHidden/>
    <w:locked/>
    <w:rsid w:val="0075108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qFormat/>
    <w:locked/>
    <w:rsid w:val="000F155E"/>
    <w:pPr>
      <w:spacing w:before="240" w:after="0"/>
      <w:outlineLvl w:val="9"/>
    </w:pPr>
    <w:rPr>
      <w:rFonts w:asciiTheme="majorHAnsi" w:hAnsiTheme="majorHAnsi"/>
      <w:b w:val="0"/>
      <w:bCs w:val="0"/>
      <w:caps w:val="0"/>
      <w:color w:val="365F91" w:themeColor="accent1" w:themeShade="BF"/>
      <w:sz w:val="32"/>
      <w:szCs w:val="32"/>
    </w:rPr>
  </w:style>
  <w:style w:type="paragraph" w:customStyle="1" w:styleId="ESHeading3">
    <w:name w:val="ES_Heading 3"/>
    <w:basedOn w:val="Heading3"/>
    <w:qFormat/>
    <w:rsid w:val="00583B58"/>
    <w:pPr>
      <w:spacing w:before="160" w:after="60"/>
    </w:pPr>
  </w:style>
  <w:style w:type="paragraph" w:customStyle="1" w:styleId="ESBodyText">
    <w:name w:val="ES_Body Text"/>
    <w:basedOn w:val="Normal"/>
    <w:uiPriority w:val="99"/>
    <w:qFormat/>
    <w:rsid w:val="00D049D0"/>
  </w:style>
  <w:style w:type="paragraph" w:styleId="FootnoteText">
    <w:name w:val="footnote text"/>
    <w:basedOn w:val="Normal"/>
    <w:link w:val="FootnoteTextChar"/>
    <w:uiPriority w:val="99"/>
    <w:unhideWhenUsed/>
    <w:locked/>
    <w:rsid w:val="00271F77"/>
    <w:pPr>
      <w:spacing w:after="40" w:line="240" w:lineRule="auto"/>
    </w:pPr>
    <w:rPr>
      <w:sz w:val="11"/>
      <w:szCs w:val="11"/>
    </w:rPr>
  </w:style>
  <w:style w:type="paragraph" w:customStyle="1" w:styleId="NoteLevel1">
    <w:name w:val="Note Level 1"/>
    <w:basedOn w:val="Normal"/>
    <w:uiPriority w:val="99"/>
    <w:locked/>
    <w:rsid w:val="00895870"/>
    <w:pPr>
      <w:keepNext/>
      <w:numPr>
        <w:numId w:val="11"/>
      </w:numPr>
      <w:spacing w:before="120"/>
      <w:ind w:left="284"/>
      <w:contextualSpacing/>
      <w:outlineLvl w:val="0"/>
    </w:pPr>
  </w:style>
  <w:style w:type="paragraph" w:customStyle="1" w:styleId="NoteLevel2">
    <w:name w:val="Note Level 2"/>
    <w:basedOn w:val="Normal"/>
    <w:uiPriority w:val="99"/>
    <w:locked/>
    <w:rsid w:val="00D84C0F"/>
    <w:pPr>
      <w:keepNext/>
      <w:numPr>
        <w:ilvl w:val="1"/>
        <w:numId w:val="11"/>
      </w:numPr>
      <w:spacing w:after="0"/>
      <w:ind w:firstLine="164"/>
      <w:contextualSpacing/>
      <w:outlineLvl w:val="1"/>
    </w:pPr>
  </w:style>
  <w:style w:type="paragraph" w:customStyle="1" w:styleId="NoteLevel3">
    <w:name w:val="Note Level 3"/>
    <w:basedOn w:val="Normal"/>
    <w:uiPriority w:val="99"/>
    <w:locked/>
    <w:rsid w:val="00D84C0F"/>
    <w:pPr>
      <w:keepNext/>
      <w:numPr>
        <w:ilvl w:val="2"/>
        <w:numId w:val="11"/>
      </w:numPr>
      <w:spacing w:after="0"/>
      <w:ind w:firstLine="164"/>
      <w:contextualSpacing/>
      <w:outlineLvl w:val="2"/>
    </w:pPr>
  </w:style>
  <w:style w:type="paragraph" w:customStyle="1" w:styleId="NoteLevel4">
    <w:name w:val="Note Level 4"/>
    <w:basedOn w:val="Normal"/>
    <w:uiPriority w:val="99"/>
    <w:locked/>
    <w:rsid w:val="00D84C0F"/>
    <w:pPr>
      <w:keepNext/>
      <w:numPr>
        <w:ilvl w:val="3"/>
        <w:numId w:val="11"/>
      </w:numPr>
      <w:spacing w:after="0"/>
      <w:ind w:firstLine="164"/>
      <w:contextualSpacing/>
      <w:outlineLvl w:val="3"/>
    </w:pPr>
  </w:style>
  <w:style w:type="paragraph" w:customStyle="1" w:styleId="NoteLevel5">
    <w:name w:val="Note Level 5"/>
    <w:basedOn w:val="Normal"/>
    <w:uiPriority w:val="99"/>
    <w:locked/>
    <w:rsid w:val="00D84C0F"/>
    <w:pPr>
      <w:keepNext/>
      <w:numPr>
        <w:ilvl w:val="4"/>
        <w:numId w:val="11"/>
      </w:numPr>
      <w:spacing w:after="0"/>
      <w:ind w:left="1985" w:firstLine="164"/>
      <w:contextualSpacing/>
      <w:outlineLvl w:val="4"/>
    </w:pPr>
  </w:style>
  <w:style w:type="paragraph" w:customStyle="1" w:styleId="NoteLevel6">
    <w:name w:val="Note Level 6"/>
    <w:basedOn w:val="Normal"/>
    <w:uiPriority w:val="99"/>
    <w:locked/>
    <w:rsid w:val="00D84C0F"/>
    <w:pPr>
      <w:keepNext/>
      <w:numPr>
        <w:ilvl w:val="5"/>
        <w:numId w:val="11"/>
      </w:numPr>
      <w:spacing w:after="0"/>
      <w:ind w:firstLine="164"/>
      <w:contextualSpacing/>
      <w:outlineLvl w:val="5"/>
    </w:pPr>
  </w:style>
  <w:style w:type="paragraph" w:customStyle="1" w:styleId="NoteLevel7">
    <w:name w:val="Note Level 7"/>
    <w:basedOn w:val="NoteLevel5"/>
    <w:uiPriority w:val="99"/>
    <w:locked/>
    <w:rsid w:val="00D84C0F"/>
    <w:pPr>
      <w:ind w:left="3402" w:firstLine="0"/>
    </w:pPr>
  </w:style>
  <w:style w:type="character" w:customStyle="1" w:styleId="FootnoteTextChar">
    <w:name w:val="Footnote Text Char"/>
    <w:basedOn w:val="DefaultParagraphFont"/>
    <w:link w:val="FootnoteText"/>
    <w:uiPriority w:val="99"/>
    <w:rsid w:val="00271F77"/>
    <w:rPr>
      <w:rFonts w:ascii="Arial" w:hAnsi="Arial" w:cs="Arial"/>
      <w:sz w:val="11"/>
      <w:szCs w:val="11"/>
    </w:rPr>
  </w:style>
  <w:style w:type="paragraph" w:customStyle="1" w:styleId="NoteLevel8">
    <w:name w:val="Note Level 8"/>
    <w:basedOn w:val="Normal"/>
    <w:uiPriority w:val="99"/>
    <w:locked/>
    <w:rsid w:val="00D84C0F"/>
    <w:pPr>
      <w:keepNext/>
      <w:numPr>
        <w:ilvl w:val="7"/>
        <w:numId w:val="11"/>
      </w:numPr>
      <w:spacing w:after="0"/>
      <w:contextualSpacing/>
      <w:outlineLvl w:val="7"/>
    </w:pPr>
  </w:style>
  <w:style w:type="paragraph" w:customStyle="1" w:styleId="ESImageorGraphTitle">
    <w:name w:val="ES_Image or Graph Title"/>
    <w:basedOn w:val="ESHeading2"/>
    <w:qFormat/>
    <w:rsid w:val="006935C9"/>
    <w:pPr>
      <w:spacing w:before="320" w:after="200"/>
    </w:pPr>
    <w:rPr>
      <w:caps w:val="0"/>
      <w:sz w:val="18"/>
    </w:rPr>
  </w:style>
  <w:style w:type="character" w:styleId="FootnoteReference">
    <w:name w:val="footnote reference"/>
    <w:basedOn w:val="DefaultParagraphFont"/>
    <w:uiPriority w:val="99"/>
    <w:unhideWhenUsed/>
    <w:locked/>
    <w:rsid w:val="00271F77"/>
    <w:rPr>
      <w:color w:val="AF272F"/>
      <w:sz w:val="13"/>
      <w:szCs w:val="13"/>
      <w:vertAlign w:val="superscript"/>
    </w:rPr>
  </w:style>
  <w:style w:type="paragraph" w:customStyle="1" w:styleId="ESSubheading1">
    <w:name w:val="ES_Subheading 1"/>
    <w:basedOn w:val="ESIntroParagraph"/>
    <w:qFormat/>
    <w:rsid w:val="00D84C0F"/>
    <w:pPr>
      <w:ind w:left="-567"/>
    </w:pPr>
    <w:rPr>
      <w:color w:val="AF272F"/>
      <w:sz w:val="28"/>
    </w:rPr>
  </w:style>
  <w:style w:type="paragraph" w:customStyle="1" w:styleId="ESSubheading1White">
    <w:name w:val="ES_Subheading 1 (White)"/>
    <w:basedOn w:val="ESSubheading1"/>
    <w:qFormat/>
    <w:rsid w:val="00D84C0F"/>
    <w:rPr>
      <w:color w:val="FFFFFF" w:themeColor="background1"/>
    </w:rPr>
  </w:style>
  <w:style w:type="paragraph" w:customStyle="1" w:styleId="ESQuote">
    <w:name w:val="ES_Quote"/>
    <w:basedOn w:val="Quote"/>
    <w:qFormat/>
    <w:rsid w:val="0057654B"/>
    <w:pPr>
      <w:spacing w:before="320" w:after="200" w:line="320" w:lineRule="atLeast"/>
    </w:pPr>
    <w:rPr>
      <w:b w:val="0"/>
      <w:i/>
    </w:rPr>
  </w:style>
  <w:style w:type="paragraph" w:customStyle="1" w:styleId="ESQuoteAuthor">
    <w:name w:val="ES_Quote Author"/>
    <w:basedOn w:val="EndnoteText"/>
    <w:qFormat/>
    <w:rsid w:val="00D84C0F"/>
  </w:style>
  <w:style w:type="paragraph" w:customStyle="1" w:styleId="NoteLevel9">
    <w:name w:val="Note Level 9"/>
    <w:basedOn w:val="Normal"/>
    <w:uiPriority w:val="99"/>
    <w:locked/>
    <w:rsid w:val="00D84C0F"/>
    <w:pPr>
      <w:keepNext/>
      <w:numPr>
        <w:ilvl w:val="8"/>
        <w:numId w:val="11"/>
      </w:numPr>
      <w:spacing w:after="0"/>
      <w:contextualSpacing/>
      <w:outlineLvl w:val="8"/>
    </w:pPr>
  </w:style>
  <w:style w:type="character" w:customStyle="1" w:styleId="WHITE">
    <w:name w:val="WHITE"/>
    <w:basedOn w:val="DefaultParagraphFont"/>
    <w:uiPriority w:val="1"/>
    <w:qFormat/>
    <w:rsid w:val="000F4C22"/>
    <w:rPr>
      <w:color w:val="EEECE1" w:themeColor="background2"/>
    </w:rPr>
  </w:style>
  <w:style w:type="paragraph" w:styleId="TOC3">
    <w:name w:val="toc 3"/>
    <w:basedOn w:val="Normal"/>
    <w:next w:val="Normal"/>
    <w:autoRedefine/>
    <w:uiPriority w:val="39"/>
    <w:unhideWhenUsed/>
    <w:locked/>
    <w:rsid w:val="00895870"/>
    <w:pPr>
      <w:ind w:left="360"/>
    </w:pPr>
  </w:style>
  <w:style w:type="paragraph" w:styleId="TOC1">
    <w:name w:val="toc 1"/>
    <w:basedOn w:val="Normal"/>
    <w:next w:val="Normal"/>
    <w:autoRedefine/>
    <w:uiPriority w:val="39"/>
    <w:unhideWhenUsed/>
    <w:locked/>
    <w:rsid w:val="00895870"/>
    <w:pPr>
      <w:tabs>
        <w:tab w:val="right" w:leader="dot" w:pos="9346"/>
      </w:tabs>
      <w:spacing w:after="100"/>
    </w:pPr>
    <w:rPr>
      <w:b/>
      <w:color w:val="AF272F"/>
    </w:rPr>
  </w:style>
  <w:style w:type="paragraph" w:styleId="TOC2">
    <w:name w:val="toc 2"/>
    <w:basedOn w:val="Normal"/>
    <w:next w:val="Normal"/>
    <w:autoRedefine/>
    <w:uiPriority w:val="39"/>
    <w:unhideWhenUsed/>
    <w:locked/>
    <w:rsid w:val="00895870"/>
    <w:pPr>
      <w:spacing w:after="100"/>
      <w:ind w:left="180"/>
    </w:pPr>
    <w:rPr>
      <w:color w:val="AF272F"/>
    </w:rPr>
  </w:style>
  <w:style w:type="paragraph" w:styleId="TOC4">
    <w:name w:val="toc 4"/>
    <w:basedOn w:val="Normal"/>
    <w:next w:val="Normal"/>
    <w:autoRedefine/>
    <w:uiPriority w:val="39"/>
    <w:unhideWhenUsed/>
    <w:locked/>
    <w:rsid w:val="00895870"/>
    <w:pPr>
      <w:ind w:left="540"/>
    </w:pPr>
  </w:style>
  <w:style w:type="paragraph" w:styleId="TOC5">
    <w:name w:val="toc 5"/>
    <w:basedOn w:val="Normal"/>
    <w:next w:val="Normal"/>
    <w:autoRedefine/>
    <w:uiPriority w:val="39"/>
    <w:unhideWhenUsed/>
    <w:locked/>
    <w:rsid w:val="00895870"/>
    <w:pPr>
      <w:ind w:left="720"/>
    </w:pPr>
  </w:style>
  <w:style w:type="paragraph" w:styleId="TOC6">
    <w:name w:val="toc 6"/>
    <w:basedOn w:val="Normal"/>
    <w:next w:val="Normal"/>
    <w:autoRedefine/>
    <w:uiPriority w:val="39"/>
    <w:unhideWhenUsed/>
    <w:locked/>
    <w:rsid w:val="00895870"/>
    <w:pPr>
      <w:ind w:left="900"/>
    </w:pPr>
  </w:style>
  <w:style w:type="paragraph" w:styleId="TOC7">
    <w:name w:val="toc 7"/>
    <w:basedOn w:val="Normal"/>
    <w:next w:val="Normal"/>
    <w:autoRedefine/>
    <w:uiPriority w:val="39"/>
    <w:unhideWhenUsed/>
    <w:locked/>
    <w:rsid w:val="00895870"/>
    <w:pPr>
      <w:ind w:left="1080"/>
    </w:pPr>
  </w:style>
  <w:style w:type="paragraph" w:styleId="TOC8">
    <w:name w:val="toc 8"/>
    <w:basedOn w:val="Normal"/>
    <w:next w:val="Normal"/>
    <w:autoRedefine/>
    <w:uiPriority w:val="39"/>
    <w:unhideWhenUsed/>
    <w:locked/>
    <w:rsid w:val="00895870"/>
    <w:pPr>
      <w:ind w:left="1260"/>
    </w:pPr>
  </w:style>
  <w:style w:type="paragraph" w:styleId="TOC9">
    <w:name w:val="toc 9"/>
    <w:basedOn w:val="Normal"/>
    <w:next w:val="Normal"/>
    <w:autoRedefine/>
    <w:uiPriority w:val="39"/>
    <w:unhideWhenUsed/>
    <w:locked/>
    <w:rsid w:val="00895870"/>
    <w:pPr>
      <w:ind w:left="1440"/>
    </w:pPr>
  </w:style>
  <w:style w:type="character" w:styleId="EndnoteReference">
    <w:name w:val="endnote reference"/>
    <w:uiPriority w:val="99"/>
    <w:unhideWhenUsed/>
    <w:locked/>
    <w:rsid w:val="00271F77"/>
    <w:rPr>
      <w:b w:val="0"/>
      <w:i w:val="0"/>
      <w:sz w:val="15"/>
      <w:szCs w:val="15"/>
      <w:lang w:val="en-AU"/>
    </w:rPr>
  </w:style>
  <w:style w:type="paragraph" w:customStyle="1" w:styleId="ESDisclaimer">
    <w:name w:val="ES_Disclaimer"/>
    <w:basedOn w:val="Normal"/>
    <w:qFormat/>
    <w:rsid w:val="00271F77"/>
    <w:pPr>
      <w:spacing w:after="40" w:line="240" w:lineRule="auto"/>
    </w:pPr>
    <w:rPr>
      <w:rFonts w:cstheme="minorHAnsi"/>
      <w:color w:val="7F7F7F" w:themeColor="text1" w:themeTint="80"/>
      <w:sz w:val="13"/>
      <w:szCs w:val="13"/>
    </w:rPr>
  </w:style>
  <w:style w:type="table" w:customStyle="1" w:styleId="TableGrid1">
    <w:name w:val="Table Grid1"/>
    <w:basedOn w:val="TableNormal"/>
    <w:next w:val="TableGrid"/>
    <w:uiPriority w:val="39"/>
    <w:rsid w:val="00F97B56"/>
    <w:rPr>
      <w:rFonts w:eastAsia="Arial"/>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locked/>
    <w:rsid w:val="00F97B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locked/>
    <w:rsid w:val="00F97B56"/>
    <w:pPr>
      <w:ind w:left="720"/>
      <w:contextualSpacing/>
    </w:pPr>
  </w:style>
  <w:style w:type="paragraph" w:customStyle="1" w:styleId="ESWhiteTableHeading">
    <w:name w:val="ES_White Table Heading"/>
    <w:basedOn w:val="Normal"/>
    <w:qFormat/>
    <w:rsid w:val="00F8548F"/>
    <w:rPr>
      <w:rFonts w:eastAsia="Arial"/>
      <w:b/>
      <w:color w:val="FFFFFF" w:themeColor="background1"/>
      <w:sz w:val="20"/>
      <w:szCs w:val="20"/>
      <w:lang w:val="en-AU"/>
    </w:rPr>
  </w:style>
  <w:style w:type="paragraph" w:customStyle="1" w:styleId="ESBulletsinTable">
    <w:name w:val="ES_Bullets in Table"/>
    <w:basedOn w:val="ListParagraph"/>
    <w:qFormat/>
    <w:rsid w:val="00226B71"/>
    <w:pPr>
      <w:numPr>
        <w:numId w:val="17"/>
      </w:numPr>
      <w:spacing w:after="80" w:line="240" w:lineRule="auto"/>
    </w:pPr>
    <w:rPr>
      <w:rFonts w:eastAsia="Arial" w:cs="Times New Roman"/>
      <w:szCs w:val="22"/>
      <w:lang w:val="en-AU"/>
    </w:rPr>
  </w:style>
  <w:style w:type="paragraph" w:customStyle="1" w:styleId="ESBulletsinTableLevel2">
    <w:name w:val="ES_Bullets in Table Level 2"/>
    <w:basedOn w:val="ListParagraph"/>
    <w:qFormat/>
    <w:rsid w:val="00226B71"/>
    <w:pPr>
      <w:numPr>
        <w:ilvl w:val="1"/>
        <w:numId w:val="17"/>
      </w:numPr>
      <w:spacing w:after="80" w:line="240" w:lineRule="auto"/>
      <w:ind w:left="592"/>
    </w:pPr>
    <w:rPr>
      <w:rFonts w:eastAsia="Arial" w:cs="Times New Roman"/>
      <w:szCs w:val="22"/>
      <w:lang w:val="en-AU"/>
    </w:rPr>
  </w:style>
  <w:style w:type="character" w:customStyle="1" w:styleId="Red">
    <w:name w:val="Red"/>
    <w:basedOn w:val="DefaultParagraphFont"/>
    <w:uiPriority w:val="1"/>
    <w:qFormat/>
    <w:rsid w:val="007B2B29"/>
    <w:rPr>
      <w:color w:val="FFFFFF" w:themeColor="background1"/>
    </w:rPr>
  </w:style>
  <w:style w:type="character" w:styleId="PageNumber">
    <w:name w:val="page number"/>
    <w:basedOn w:val="DefaultParagraphFont"/>
    <w:uiPriority w:val="99"/>
    <w:semiHidden/>
    <w:unhideWhenUsed/>
    <w:locked/>
    <w:rsid w:val="007B2B29"/>
  </w:style>
  <w:style w:type="paragraph" w:styleId="NormalWeb">
    <w:name w:val="Normal (Web)"/>
    <w:basedOn w:val="Normal"/>
    <w:uiPriority w:val="99"/>
    <w:semiHidden/>
    <w:unhideWhenUsed/>
    <w:locked/>
    <w:rsid w:val="00C259B6"/>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locked/>
    <w:rsid w:val="001F6230"/>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1F6230"/>
    <w:rPr>
      <w:rFonts w:ascii="Segoe UI" w:hAnsi="Segoe UI" w:cs="Segoe UI"/>
      <w:sz w:val="18"/>
      <w:szCs w:val="18"/>
    </w:rPr>
  </w:style>
  <w:style w:type="character" w:customStyle="1" w:styleId="Heading4Char">
    <w:name w:val="Heading 4 Char"/>
    <w:basedOn w:val="DefaultParagraphFont"/>
    <w:link w:val="Heading4"/>
    <w:uiPriority w:val="9"/>
    <w:semiHidden/>
    <w:rsid w:val="00B13A07"/>
    <w:rPr>
      <w:rFonts w:asciiTheme="majorHAnsi" w:eastAsiaTheme="majorEastAsia" w:hAnsiTheme="majorHAnsi" w:cstheme="majorBidi"/>
      <w:i/>
      <w:iCs/>
      <w:color w:val="365F91" w:themeColor="accent1" w:themeShade="BF"/>
      <w:sz w:val="18"/>
      <w:szCs w:val="18"/>
    </w:rPr>
  </w:style>
  <w:style w:type="character" w:styleId="Hyperlink">
    <w:name w:val="Hyperlink"/>
    <w:basedOn w:val="DefaultParagraphFont"/>
    <w:uiPriority w:val="99"/>
    <w:unhideWhenUsed/>
    <w:locked/>
    <w:rsid w:val="00F73E5D"/>
    <w:rPr>
      <w:color w:val="0000FF"/>
      <w:u w:val="single"/>
    </w:rPr>
  </w:style>
  <w:style w:type="table" w:customStyle="1" w:styleId="GridTable2-Accent61">
    <w:name w:val="Grid Table 2 - Accent 61"/>
    <w:basedOn w:val="TableNormal"/>
    <w:uiPriority w:val="47"/>
    <w:rPr>
      <w:rFonts w:eastAsia="Arial"/>
      <w:sz w:val="22"/>
      <w:szCs w:val="22"/>
      <w:lang w:val="en-AU"/>
    </w:rPr>
    <w:tblPr>
      <w:tblStyleRowBandSize w:val="1"/>
      <w:tblStyleColBandSize w:val="1"/>
      <w:tblBorders>
        <w:top w:val="single" w:sz="2" w:space="0" w:color="FFFFFF"/>
        <w:bottom w:val="single" w:sz="2" w:space="0" w:color="FFFFFF"/>
        <w:insideH w:val="single" w:sz="2" w:space="0" w:color="FFFFFF"/>
        <w:insideV w:val="single" w:sz="2" w:space="0" w:color="FFFFFF"/>
      </w:tblBorders>
    </w:tblPr>
    <w:tblStylePr w:type="firstRow">
      <w:rPr>
        <w:b/>
        <w:bCs/>
      </w:rPr>
      <w:tblPr/>
      <w:tcPr>
        <w:tcBorders>
          <w:top w:val="nil"/>
          <w:bottom w:val="single" w:sz="12" w:space="0" w:color="FFFFFF"/>
          <w:insideH w:val="nil"/>
          <w:insideV w:val="nil"/>
        </w:tcBorders>
        <w:shd w:val="clear" w:color="auto" w:fill="AF272F"/>
      </w:tcPr>
    </w:tblStylePr>
    <w:tblStylePr w:type="lastRow">
      <w:rPr>
        <w:b/>
        <w:bCs/>
      </w:rPr>
      <w:tblPr/>
      <w:tcPr>
        <w:tcBorders>
          <w:top w:val="double" w:sz="2" w:space="0" w:color="FFFFFF"/>
          <w:bottom w:val="nil"/>
          <w:insideH w:val="nil"/>
          <w:insideV w:val="nil"/>
        </w:tcBorders>
        <w:shd w:val="clear" w:color="auto" w:fill="AF272F"/>
      </w:tcPr>
    </w:tblStylePr>
    <w:tblStylePr w:type="firstCol">
      <w:rPr>
        <w:b/>
        <w:bCs/>
      </w:rPr>
    </w:tblStylePr>
    <w:tblStylePr w:type="lastCol">
      <w:rPr>
        <w:b/>
        <w:bCs/>
      </w:rPr>
    </w:tblStylePr>
    <w:tblStylePr w:type="band1Vert">
      <w:tblPr/>
      <w:tcPr>
        <w:shd w:val="clear" w:color="auto" w:fill="FFFFFF"/>
      </w:tcPr>
    </w:tblStylePr>
    <w:tblStylePr w:type="band1Horz">
      <w:tblPr/>
      <w:tcPr>
        <w:shd w:val="clear" w:color="auto" w:fill="FFFFFF"/>
      </w:tcPr>
    </w:tblStylePr>
  </w:style>
  <w:style w:type="table" w:customStyle="1" w:styleId="GridTable2-Accent611">
    <w:name w:val="Grid Table 2 - Accent 611"/>
    <w:basedOn w:val="TableNormal"/>
    <w:uiPriority w:val="47"/>
    <w:rPr>
      <w:rFonts w:eastAsia="Arial"/>
      <w:sz w:val="22"/>
      <w:szCs w:val="22"/>
      <w:lang w:val="en-AU"/>
    </w:rPr>
    <w:tblPr>
      <w:tblStyleRowBandSize w:val="1"/>
      <w:tblStyleColBandSize w:val="1"/>
      <w:tblBorders>
        <w:top w:val="single" w:sz="2" w:space="0" w:color="FFFFFF"/>
        <w:bottom w:val="single" w:sz="2" w:space="0" w:color="FFFFFF"/>
        <w:insideH w:val="single" w:sz="2" w:space="0" w:color="FFFFFF"/>
        <w:insideV w:val="single" w:sz="2" w:space="0" w:color="FFFFFF"/>
      </w:tblBorders>
    </w:tblPr>
    <w:tblStylePr w:type="firstRow">
      <w:rPr>
        <w:b/>
        <w:bCs/>
      </w:rPr>
      <w:tblPr/>
      <w:tcPr>
        <w:tcBorders>
          <w:top w:val="nil"/>
          <w:bottom w:val="single" w:sz="12" w:space="0" w:color="FFFFFF"/>
          <w:insideH w:val="nil"/>
          <w:insideV w:val="nil"/>
        </w:tcBorders>
        <w:shd w:val="clear" w:color="auto" w:fill="AF272F"/>
      </w:tcPr>
    </w:tblStylePr>
    <w:tblStylePr w:type="lastRow">
      <w:rPr>
        <w:b/>
        <w:bCs/>
      </w:rPr>
      <w:tblPr/>
      <w:tcPr>
        <w:tcBorders>
          <w:top w:val="double" w:sz="2" w:space="0" w:color="FFFFFF"/>
          <w:bottom w:val="nil"/>
          <w:insideH w:val="nil"/>
          <w:insideV w:val="nil"/>
        </w:tcBorders>
        <w:shd w:val="clear" w:color="auto" w:fill="AF272F"/>
      </w:tcPr>
    </w:tblStylePr>
    <w:tblStylePr w:type="firstCol">
      <w:rPr>
        <w:b/>
        <w:bCs/>
      </w:rPr>
    </w:tblStylePr>
    <w:tblStylePr w:type="lastCol">
      <w:rPr>
        <w:b/>
        <w:bCs/>
      </w:rPr>
    </w:tblStylePr>
    <w:tblStylePr w:type="band1Vert">
      <w:tblPr/>
      <w:tcPr>
        <w:shd w:val="clear" w:color="auto" w:fill="FFFFFF"/>
      </w:tcPr>
    </w:tblStylePr>
    <w:tblStylePr w:type="band1Horz">
      <w:tblPr/>
      <w:tcPr>
        <w:shd w:val="clear" w:color="auto" w:fill="FFFFFF"/>
      </w:tcPr>
    </w:tblStylePr>
  </w:style>
  <w:style w:type="table" w:customStyle="1" w:styleId="GridTable2-Accent6121">
    <w:name w:val="Grid Table 2 - Accent 6121"/>
    <w:basedOn w:val="TableNormal"/>
    <w:uiPriority w:val="47"/>
    <w:rPr>
      <w:rFonts w:eastAsia="Arial"/>
      <w:sz w:val="22"/>
      <w:szCs w:val="22"/>
      <w:lang w:val="en-AU"/>
    </w:rPr>
    <w:tblPr>
      <w:tblStyleRowBandSize w:val="1"/>
      <w:tblStyleColBandSize w:val="1"/>
      <w:tblBorders>
        <w:top w:val="single" w:sz="2" w:space="0" w:color="FFFFFF"/>
        <w:bottom w:val="single" w:sz="2" w:space="0" w:color="FFFFFF"/>
        <w:insideH w:val="single" w:sz="2" w:space="0" w:color="FFFFFF"/>
        <w:insideV w:val="single" w:sz="2" w:space="0" w:color="FFFFFF"/>
      </w:tblBorders>
    </w:tblPr>
    <w:tblStylePr w:type="firstRow">
      <w:rPr>
        <w:b/>
        <w:bCs/>
      </w:rPr>
      <w:tblPr/>
      <w:tcPr>
        <w:tcBorders>
          <w:top w:val="nil"/>
          <w:bottom w:val="single" w:sz="12" w:space="0" w:color="FFFFFF"/>
          <w:insideH w:val="nil"/>
          <w:insideV w:val="nil"/>
        </w:tcBorders>
        <w:shd w:val="clear" w:color="auto" w:fill="AF272F"/>
      </w:tcPr>
    </w:tblStylePr>
    <w:tblStylePr w:type="lastRow">
      <w:rPr>
        <w:b/>
        <w:bCs/>
      </w:rPr>
      <w:tblPr/>
      <w:tcPr>
        <w:tcBorders>
          <w:top w:val="double" w:sz="2" w:space="0" w:color="FFFFFF"/>
          <w:bottom w:val="nil"/>
          <w:insideH w:val="nil"/>
          <w:insideV w:val="nil"/>
        </w:tcBorders>
        <w:shd w:val="clear" w:color="auto" w:fill="AF272F"/>
      </w:tcPr>
    </w:tblStylePr>
    <w:tblStylePr w:type="firstCol">
      <w:rPr>
        <w:b/>
        <w:bCs/>
      </w:rPr>
    </w:tblStylePr>
    <w:tblStylePr w:type="lastCol">
      <w:rPr>
        <w:b/>
        <w:bCs/>
      </w:rPr>
    </w:tblStylePr>
    <w:tblStylePr w:type="band1Vert">
      <w:tblPr/>
      <w:tcPr>
        <w:shd w:val="clear" w:color="auto" w:fill="FFFFFF"/>
      </w:tcPr>
    </w:tblStylePr>
    <w:tblStylePr w:type="band1Horz">
      <w:tblPr/>
      <w:tcPr>
        <w:shd w:val="clear" w:color="auto" w:fill="FFFFFF"/>
      </w:tcPr>
    </w:tblStylePr>
  </w:style>
  <w:style w:type="table" w:customStyle="1" w:styleId="GridTable2-Accent612">
    <w:name w:val="Grid Table 2 - Accent 612"/>
    <w:basedOn w:val="TableNormal"/>
    <w:uiPriority w:val="47"/>
    <w:rPr>
      <w:rFonts w:eastAsia="Arial"/>
      <w:sz w:val="22"/>
      <w:szCs w:val="22"/>
      <w:lang w:val="en-AU"/>
    </w:rPr>
    <w:tblPr>
      <w:tblStyleRowBandSize w:val="1"/>
      <w:tblStyleColBandSize w:val="1"/>
      <w:tblBorders>
        <w:top w:val="single" w:sz="2" w:space="0" w:color="FFFFFF"/>
        <w:bottom w:val="single" w:sz="2" w:space="0" w:color="FFFFFF"/>
        <w:insideH w:val="single" w:sz="2" w:space="0" w:color="FFFFFF"/>
        <w:insideV w:val="single" w:sz="2" w:space="0" w:color="FFFFFF"/>
      </w:tblBorders>
    </w:tblPr>
    <w:tblStylePr w:type="firstRow">
      <w:rPr>
        <w:b/>
        <w:bCs/>
      </w:rPr>
      <w:tblPr/>
      <w:tcPr>
        <w:tcBorders>
          <w:top w:val="nil"/>
          <w:bottom w:val="single" w:sz="12" w:space="0" w:color="FFFFFF"/>
          <w:insideH w:val="nil"/>
          <w:insideV w:val="nil"/>
        </w:tcBorders>
        <w:shd w:val="clear" w:color="auto" w:fill="AF272F"/>
      </w:tcPr>
    </w:tblStylePr>
    <w:tblStylePr w:type="lastRow">
      <w:rPr>
        <w:b/>
        <w:bCs/>
      </w:rPr>
      <w:tblPr/>
      <w:tcPr>
        <w:tcBorders>
          <w:top w:val="double" w:sz="2" w:space="0" w:color="FFFFFF"/>
          <w:bottom w:val="nil"/>
          <w:insideH w:val="nil"/>
          <w:insideV w:val="nil"/>
        </w:tcBorders>
        <w:shd w:val="clear" w:color="auto" w:fill="AF272F"/>
      </w:tcPr>
    </w:tblStylePr>
    <w:tblStylePr w:type="firstCol">
      <w:rPr>
        <w:b/>
        <w:bCs/>
      </w:rPr>
    </w:tblStylePr>
    <w:tblStylePr w:type="lastCol">
      <w:rPr>
        <w:b/>
        <w:bCs/>
      </w:rPr>
    </w:tblStylePr>
    <w:tblStylePr w:type="band1Vert">
      <w:tblPr/>
      <w:tcPr>
        <w:shd w:val="clear" w:color="auto" w:fill="FFFFFF"/>
      </w:tcPr>
    </w:tblStylePr>
    <w:tblStylePr w:type="band1Horz">
      <w:tblPr/>
      <w:tcPr>
        <w:shd w:val="clear" w:color="auto"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s://www.vit.vic.edu.au/"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ww.vit.vic.edu.au/" TargetMode="External"/><Relationship Id="rId23" Type="http://schemas.openxmlformats.org/officeDocument/2006/relationships/header" Target="header5.xml"/><Relationship Id="rId28" Type="http://schemas.openxmlformats.org/officeDocument/2006/relationships/header" Target="header8.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4.xml"/><Relationship Id="rId27" Type="http://schemas.openxmlformats.org/officeDocument/2006/relationships/footer" Target="footer4.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635078151241466585</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635078151241466585</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635078151241466585</Data>
    <Filter/>
  </Receiver>
  <Receiver>
    <Name>Nintex conditional workflow start</Name>
    <Synchronization>Synchronous</Synchronization>
    <Type>10004</Type>
    <SequenceNumber>50000</SequenceNumber>
    <Assembly>Nintex.Workflow, Version=1.0.0.0, Culture=neutral, PublicKeyToken=913f6bae0ca5ae12</Assembly>
    <Class>Nintex.Workflow.ConditionalWorkflowStartReceiver</Class>
    <Data>635078151241466585</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FD8C52FF2EE1A4490B5AB85D7492BA0" ma:contentTypeVersion="1" ma:contentTypeDescription="Create a new document." ma:contentTypeScope="" ma:versionID="6c6ab83cbd5185eb98af1dec393eadd5">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081E9-3CD3-4F5B-803C-61E34248A148}">
  <ds:schemaRefs>
    <ds:schemaRef ds:uri="http://schemas.microsoft.com/sharepoint/v3/contenttype/forms"/>
  </ds:schemaRefs>
</ds:datastoreItem>
</file>

<file path=customXml/itemProps2.xml><?xml version="1.0" encoding="utf-8"?>
<ds:datastoreItem xmlns:ds="http://schemas.openxmlformats.org/officeDocument/2006/customXml" ds:itemID="{42BA66E8-BEDF-4CC9-A9D0-A0D341F95659}">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A78D826A-78A9-4A6C-8034-99F2E8A12FB7}">
  <ds:schemaRefs>
    <ds:schemaRef ds:uri="http://schemas.microsoft.com/sharepoint/events"/>
  </ds:schemaRefs>
</ds:datastoreItem>
</file>

<file path=customXml/itemProps4.xml><?xml version="1.0" encoding="utf-8"?>
<ds:datastoreItem xmlns:ds="http://schemas.openxmlformats.org/officeDocument/2006/customXml" ds:itemID="{43139D35-E501-4384-8888-880DF99BD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4F832F-07D1-4792-8D72-586305C59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3260</Words>
  <Characters>18588</Characters>
  <Application>Microsoft Office Word</Application>
  <DocSecurity>4</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Dori Maniatakis</dc:creator>
  <cp:lastModifiedBy>Cashen, Janine J</cp:lastModifiedBy>
  <cp:revision>2</cp:revision>
  <dcterms:created xsi:type="dcterms:W3CDTF">2019-06-07T04:50:00Z</dcterms:created>
  <dcterms:modified xsi:type="dcterms:W3CDTF">2019-06-07T04:50:00Z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0x0101001FD8C52FF2EE1A4490B5AB85D7492BA0</vt:lpwstr>
  </property>
</Properties>
</file>